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CE" w:rsidRDefault="009268D8">
      <w:pPr>
        <w:pStyle w:val="berschrift1"/>
        <w:rPr>
          <w:rFonts w:eastAsia="Times New Roman"/>
        </w:rPr>
      </w:pPr>
      <w:bookmarkStart w:id="0" w:name="_Toc1"/>
      <w:r>
        <w:rPr>
          <w:rFonts w:eastAsia="Times New Roman"/>
        </w:rPr>
        <w:t>Alanus ab Insulis: Anticlaudianus</w:t>
      </w:r>
      <w:bookmarkEnd w:id="0"/>
    </w:p>
    <w:p w:rsidR="00774CAB" w:rsidRDefault="00774CAB" w:rsidP="00774CAB">
      <w:pPr>
        <w:spacing w:line="360" w:lineRule="auto"/>
      </w:pPr>
    </w:p>
    <w:p w:rsidR="00774CAB" w:rsidRPr="00774CAB" w:rsidRDefault="00774CAB" w:rsidP="00B73CDF">
      <w:pPr>
        <w:spacing w:after="0" w:line="360" w:lineRule="auto"/>
        <w:jc w:val="both"/>
        <w:rPr>
          <w:b/>
        </w:rPr>
      </w:pPr>
      <w:r w:rsidRPr="00774CAB">
        <w:rPr>
          <w:b/>
        </w:rPr>
        <w:t>Autor</w:t>
      </w:r>
    </w:p>
    <w:p w:rsidR="00774CAB" w:rsidRPr="00774CAB" w:rsidRDefault="00774CAB" w:rsidP="00B73CDF">
      <w:pPr>
        <w:spacing w:after="0" w:line="360" w:lineRule="auto"/>
        <w:jc w:val="both"/>
        <w:rPr>
          <w:sz w:val="22"/>
        </w:rPr>
      </w:pPr>
      <w:r w:rsidRPr="00774CAB">
        <w:rPr>
          <w:sz w:val="22"/>
        </w:rPr>
        <w:t>Alanus ab Insulis (ca. 1125/30</w:t>
      </w:r>
      <w:r w:rsidRPr="00774CAB">
        <w:rPr>
          <w:rFonts w:eastAsia="Georgia" w:cs="Georgia"/>
          <w:sz w:val="22"/>
        </w:rPr>
        <w:t>–</w:t>
      </w:r>
      <w:r w:rsidRPr="00774CAB">
        <w:rPr>
          <w:sz w:val="22"/>
        </w:rPr>
        <w:t xml:space="preserve">1203) war ein berühmter französischer Gelehrter und Geistlicher des 12. Jahrhunderts. Er lehrte die </w:t>
      </w:r>
      <w:r w:rsidRPr="00774CAB">
        <w:rPr>
          <w:i/>
          <w:sz w:val="22"/>
        </w:rPr>
        <w:t>Artes liberales</w:t>
      </w:r>
      <w:r w:rsidRPr="00774CAB">
        <w:rPr>
          <w:sz w:val="22"/>
        </w:rPr>
        <w:t xml:space="preserve"> und Theologie in Paris und Montpellier. Zu seinen literarischen Werken zählen das Prosimetrum </w:t>
      </w:r>
      <w:r w:rsidRPr="00774CAB">
        <w:rPr>
          <w:i/>
          <w:sz w:val="22"/>
        </w:rPr>
        <w:t xml:space="preserve">De Planctu Naturae </w:t>
      </w:r>
      <w:r w:rsidRPr="00774CAB">
        <w:rPr>
          <w:sz w:val="22"/>
        </w:rPr>
        <w:t>(</w:t>
      </w:r>
      <w:r w:rsidRPr="00774CAB">
        <w:rPr>
          <w:rFonts w:eastAsia="Georgia" w:cs="Georgia"/>
          <w:sz w:val="22"/>
        </w:rPr>
        <w:t>›</w:t>
      </w:r>
      <w:r w:rsidRPr="00774CAB">
        <w:rPr>
          <w:sz w:val="22"/>
        </w:rPr>
        <w:t>Wehklage der Natur</w:t>
      </w:r>
      <w:r w:rsidRPr="00774CAB">
        <w:rPr>
          <w:rFonts w:eastAsia="Georgia" w:cs="Georgia"/>
          <w:sz w:val="22"/>
        </w:rPr>
        <w:t>‹</w:t>
      </w:r>
      <w:r w:rsidRPr="00774CAB">
        <w:rPr>
          <w:sz w:val="22"/>
        </w:rPr>
        <w:t xml:space="preserve">) und das hexametrische Gedicht </w:t>
      </w:r>
      <w:r w:rsidRPr="00774CAB">
        <w:rPr>
          <w:i/>
          <w:sz w:val="22"/>
        </w:rPr>
        <w:t>Anticlaudianus de Antirufino</w:t>
      </w:r>
      <w:r w:rsidRPr="00774CAB">
        <w:rPr>
          <w:sz w:val="22"/>
        </w:rPr>
        <w:t>, aus dem die folgenden Auszüge stammen.</w:t>
      </w:r>
    </w:p>
    <w:p w:rsidR="00774CAB" w:rsidRDefault="00774CAB" w:rsidP="00B73CDF">
      <w:pPr>
        <w:spacing w:after="0" w:line="360" w:lineRule="auto"/>
        <w:jc w:val="both"/>
        <w:rPr>
          <w:b/>
        </w:rPr>
      </w:pPr>
    </w:p>
    <w:p w:rsidR="00774CAB" w:rsidRPr="00774CAB" w:rsidRDefault="00774CAB" w:rsidP="00B73CDF">
      <w:pPr>
        <w:spacing w:after="0" w:line="360" w:lineRule="auto"/>
        <w:jc w:val="both"/>
        <w:rPr>
          <w:b/>
        </w:rPr>
      </w:pPr>
      <w:r w:rsidRPr="00774CAB">
        <w:rPr>
          <w:b/>
        </w:rPr>
        <w:t>Werk</w:t>
      </w:r>
    </w:p>
    <w:p w:rsidR="00774CAB" w:rsidRPr="00774CAB" w:rsidRDefault="00774CAB" w:rsidP="00B73CDF">
      <w:pPr>
        <w:spacing w:after="0" w:line="360" w:lineRule="auto"/>
        <w:jc w:val="both"/>
        <w:rPr>
          <w:sz w:val="22"/>
        </w:rPr>
      </w:pPr>
      <w:r w:rsidRPr="00774CAB">
        <w:rPr>
          <w:sz w:val="22"/>
        </w:rPr>
        <w:t xml:space="preserve">Der </w:t>
      </w:r>
      <w:r w:rsidRPr="00774CAB">
        <w:rPr>
          <w:i/>
          <w:sz w:val="22"/>
        </w:rPr>
        <w:t xml:space="preserve">Anticlaudianus </w:t>
      </w:r>
      <w:r w:rsidRPr="00774CAB">
        <w:rPr>
          <w:sz w:val="22"/>
        </w:rPr>
        <w:t xml:space="preserve">ist ein allegorisches Gedicht, das von der Erschaffung eines göttlichen Menschen durch das Zusammenwirken aller Tugenden handelt. Im Laufe der Handlung treten auch die Künste auf, darunter die Rhetorik, deren Lehrinhalte und Ziele vorgestellt werden. Zudem werden große Redner und Redelehrer genannt, unter denen Cicero den ersten Platz einnimmt, der sich sowohl praktisch als auch in theoretischen Werken mit der Redekunst befasst hatte, u.a. in </w:t>
      </w:r>
      <w:r w:rsidRPr="00774CAB">
        <w:rPr>
          <w:i/>
          <w:sz w:val="22"/>
        </w:rPr>
        <w:t>De Inventione</w:t>
      </w:r>
      <w:r w:rsidRPr="00774CAB">
        <w:rPr>
          <w:sz w:val="22"/>
        </w:rPr>
        <w:t xml:space="preserve">, </w:t>
      </w:r>
      <w:r w:rsidRPr="00774CAB">
        <w:rPr>
          <w:i/>
          <w:sz w:val="22"/>
        </w:rPr>
        <w:t>De oratore</w:t>
      </w:r>
      <w:r w:rsidRPr="00774CAB">
        <w:rPr>
          <w:sz w:val="22"/>
        </w:rPr>
        <w:t xml:space="preserve">, </w:t>
      </w:r>
      <w:r w:rsidRPr="00774CAB">
        <w:rPr>
          <w:i/>
          <w:sz w:val="22"/>
        </w:rPr>
        <w:t>Brutus</w:t>
      </w:r>
      <w:r w:rsidRPr="00774CAB">
        <w:rPr>
          <w:sz w:val="22"/>
        </w:rPr>
        <w:t xml:space="preserve"> und </w:t>
      </w:r>
      <w:r w:rsidRPr="00774CAB">
        <w:rPr>
          <w:i/>
          <w:sz w:val="22"/>
        </w:rPr>
        <w:t>Orator</w:t>
      </w:r>
      <w:r w:rsidRPr="00774CAB">
        <w:rPr>
          <w:sz w:val="22"/>
        </w:rPr>
        <w:t>.</w:t>
      </w:r>
    </w:p>
    <w:p w:rsidR="00774CAB" w:rsidRDefault="00774CAB" w:rsidP="00B73CDF">
      <w:pPr>
        <w:spacing w:after="0" w:line="360" w:lineRule="auto"/>
        <w:jc w:val="both"/>
        <w:rPr>
          <w:b/>
        </w:rPr>
      </w:pPr>
    </w:p>
    <w:p w:rsidR="00774CAB" w:rsidRPr="00774CAB" w:rsidRDefault="00774CAB" w:rsidP="00B73CDF">
      <w:pPr>
        <w:spacing w:after="0" w:line="360" w:lineRule="auto"/>
        <w:jc w:val="both"/>
        <w:rPr>
          <w:b/>
        </w:rPr>
      </w:pPr>
      <w:r w:rsidRPr="00774CAB">
        <w:rPr>
          <w:b/>
        </w:rPr>
        <w:t>Besonderheiten</w:t>
      </w:r>
    </w:p>
    <w:p w:rsidR="00774CAB" w:rsidRPr="00774CAB" w:rsidRDefault="00774CAB" w:rsidP="00B73CDF">
      <w:pPr>
        <w:spacing w:after="0" w:line="360" w:lineRule="auto"/>
        <w:jc w:val="both"/>
        <w:rPr>
          <w:sz w:val="22"/>
        </w:rPr>
      </w:pPr>
      <w:r w:rsidRPr="00774CAB">
        <w:rPr>
          <w:sz w:val="22"/>
        </w:rPr>
        <w:t xml:space="preserve">Der </w:t>
      </w:r>
      <w:r w:rsidRPr="00774CAB">
        <w:rPr>
          <w:i/>
          <w:sz w:val="22"/>
        </w:rPr>
        <w:t>Anticlaudianus</w:t>
      </w:r>
      <w:r w:rsidRPr="00774CAB">
        <w:rPr>
          <w:sz w:val="22"/>
        </w:rPr>
        <w:t xml:space="preserve"> ist im daktylischen Hexameter abgefasst, dem Versmaß des Epos und des Lehrgedichts. Im folgenden Abschnitt werden die Inhalte der Rhetorikausbildung komprimiert dargestellt, wobei sich der Dichter schmuckloser, wiederkehrender Formulierungen bedient. Die Syntax ist simpel. Auffällig ist der unsystematisch erscheinende Gebrauch der Modi: In gleichartigen Konstruktionen wird mal der Indikativ, mal der Konjunktiv verwendet.</w:t>
      </w:r>
    </w:p>
    <w:p w:rsidR="00774CAB" w:rsidRDefault="00774CAB">
      <w:pPr>
        <w:spacing w:line="360" w:lineRule="auto"/>
      </w:pPr>
    </w:p>
    <w:p w:rsidR="00EC49CE" w:rsidRDefault="009268D8" w:rsidP="00B73CDF">
      <w:pPr>
        <w:spacing w:after="0" w:line="360" w:lineRule="auto"/>
        <w:rPr>
          <w:sz w:val="20"/>
        </w:rPr>
      </w:pPr>
      <w:r w:rsidRPr="00B73CDF">
        <w:rPr>
          <w:b/>
        </w:rPr>
        <w:t>Ausgabe:</w:t>
      </w:r>
      <w:r>
        <w:t xml:space="preserve"> </w:t>
      </w:r>
      <w:r>
        <w:br/>
      </w:r>
      <w:r>
        <w:rPr>
          <w:sz w:val="20"/>
        </w:rPr>
        <w:t>Wright, Thomas (Hrsg.): The Anglo-Latin Satirical Poets and Epigrammatists of the Twelfth Century. Vol. II. London u.a. 1872.</w:t>
      </w:r>
    </w:p>
    <w:p w:rsidR="00B73CDF" w:rsidRDefault="00B73CDF" w:rsidP="00B73CDF">
      <w:pPr>
        <w:spacing w:after="0" w:line="360" w:lineRule="auto"/>
        <w:rPr>
          <w:b/>
        </w:rPr>
      </w:pPr>
    </w:p>
    <w:p w:rsidR="00EC49CE" w:rsidRDefault="009268D8" w:rsidP="00B73CDF">
      <w:pPr>
        <w:spacing w:after="0" w:line="360" w:lineRule="auto"/>
      </w:pPr>
      <w:r w:rsidRPr="00B73CDF">
        <w:rPr>
          <w:b/>
        </w:rPr>
        <w:t>Weiterführende Literatur:</w:t>
      </w:r>
      <w:r>
        <w:br/>
      </w:r>
      <w:r>
        <w:rPr>
          <w:sz w:val="20"/>
        </w:rPr>
        <w:t xml:space="preserve">Hödl, Ludwig / Silagi, Gabriel: Alanus ab Insulis (von Lille). In: LexMA I (1980), Sp. 268–270. </w:t>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Was ist Rhetorik? (Alanus ab Insulis, Anticlaudianus 3, 175–187)</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b/>
                <w:sz w:val="24"/>
                <w:szCs w:val="24"/>
              </w:rPr>
            </w:pPr>
            <w:r>
              <w:rPr>
                <w:rFonts w:cs="Times New Roman"/>
                <w:i/>
                <w:sz w:val="24"/>
                <w:szCs w:val="24"/>
              </w:rPr>
              <w:t>Nach antikem Vorbild werden die Aufgaben des Redners und die Teilbereiche der Redekunst definiert. Anschließend geht es um die Teile einer Rede und um deren Ziele. Den Anfang macht die Eröffnung.</w:t>
            </w: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Quid cause genus efficiat, quo tendat, et ad quem</w:t>
            </w:r>
          </w:p>
          <w:p w:rsidR="00EC49CE" w:rsidRDefault="009268D8">
            <w:pPr>
              <w:pStyle w:val="Zitat"/>
            </w:pPr>
            <w:r>
              <w:t>deveniens finem deliberet utile, iustum</w:t>
            </w:r>
          </w:p>
          <w:p w:rsidR="00EC49CE" w:rsidRDefault="009268D8">
            <w:pPr>
              <w:pStyle w:val="Zitat"/>
            </w:pPr>
            <w:r>
              <w:t>iudicet, affirmet rectum, demonstret honestum;</w:t>
            </w:r>
          </w:p>
          <w:p w:rsidR="00EC49CE" w:rsidRDefault="009268D8">
            <w:pPr>
              <w:pStyle w:val="Zitat"/>
            </w:pPr>
            <w:r>
              <w:t>quae partes artis, quis earum texitur ordo</w:t>
            </w:r>
            <w:r>
              <w:rPr>
                <w:rStyle w:val="Funotenzeichen"/>
              </w:rPr>
              <w:footnoteReference w:id="1"/>
            </w:r>
            <w:r>
              <w:t>:</w:t>
            </w:r>
          </w:p>
          <w:p w:rsidR="00EC49CE" w:rsidRDefault="009268D8">
            <w:pPr>
              <w:pStyle w:val="Zitat"/>
            </w:pPr>
            <w:r>
              <w:t>qualiter in primis ars invenit, ipsaque tandem</w:t>
            </w:r>
          </w:p>
          <w:p w:rsidR="00EC49CE" w:rsidRDefault="009268D8">
            <w:pPr>
              <w:pStyle w:val="Zitat"/>
            </w:pPr>
            <w:r>
              <w:t>ordinat, eloquitur, memorat, pronunciat, ut sic</w:t>
            </w:r>
          </w:p>
          <w:p w:rsidR="00EC49CE" w:rsidRDefault="009268D8">
            <w:pPr>
              <w:pStyle w:val="Zitat"/>
            </w:pPr>
            <w:r>
              <w:t>ordine legitimo sibimet respondeat ordo;</w:t>
            </w:r>
          </w:p>
          <w:p w:rsidR="00EC49CE" w:rsidRDefault="009268D8">
            <w:pPr>
              <w:pStyle w:val="Zitat"/>
            </w:pPr>
            <w:r>
              <w:t>quas vel quot partes oracio rethoris in se</w:t>
            </w:r>
          </w:p>
          <w:p w:rsidR="00EC49CE" w:rsidRDefault="009268D8">
            <w:pPr>
              <w:pStyle w:val="Zitat"/>
            </w:pPr>
            <w:r>
              <w:t>contineat, vel qua serie texantur in illa</w:t>
            </w:r>
            <w:r>
              <w:rPr>
                <w:rStyle w:val="Funotenzeichen"/>
              </w:rPr>
              <w:footnoteReference w:id="2"/>
            </w:r>
            <w:r>
              <w:t>;</w:t>
            </w:r>
          </w:p>
          <w:p w:rsidR="00EC49CE" w:rsidRDefault="009268D8">
            <w:pPr>
              <w:pStyle w:val="Zitat"/>
            </w:pPr>
            <w:r>
              <w:t>quomodo principium mentem movet, erigit aurem,</w:t>
            </w:r>
          </w:p>
          <w:p w:rsidR="00EC49CE" w:rsidRDefault="009268D8">
            <w:pPr>
              <w:pStyle w:val="Zitat"/>
            </w:pPr>
            <w:r>
              <w:t>excitat auditum, cor iudicis apparat illi,</w:t>
            </w:r>
          </w:p>
          <w:p w:rsidR="00EC49CE" w:rsidRDefault="009268D8">
            <w:pPr>
              <w:pStyle w:val="Zitat"/>
            </w:pPr>
            <w:r>
              <w:t>quo magis attentus, docilis magis atque benignus</w:t>
            </w:r>
          </w:p>
          <w:p w:rsidR="00EC49CE" w:rsidRDefault="009268D8">
            <w:pPr>
              <w:pStyle w:val="Zitat"/>
            </w:pPr>
            <w:r>
              <w:t>redditur auditor, et mentem dedicat auri.</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tendere, tendō (hier): auf etw. zielen, auf etw. hinauslaufen</w:t>
            </w:r>
          </w:p>
          <w:p w:rsidR="00EC49CE" w:rsidRDefault="009268D8">
            <w:pPr>
              <w:pStyle w:val="Vokabeln"/>
              <w:framePr w:hSpace="0" w:wrap="auto" w:vAnchor="margin" w:hAnchor="text" w:xAlign="left" w:yAlign="inline"/>
            </w:pPr>
            <w:r>
              <w:t>dēvenīre, dēveniō (&lt; venīre): kommen, gelangen</w:t>
            </w:r>
          </w:p>
          <w:p w:rsidR="00EC49CE" w:rsidRDefault="009268D8">
            <w:pPr>
              <w:pStyle w:val="Vokabeln"/>
              <w:framePr w:hSpace="0" w:wrap="auto" w:vAnchor="margin" w:hAnchor="text" w:xAlign="left" w:yAlign="inline"/>
            </w:pPr>
            <w:r>
              <w:t>dēlīberāre, dēlīberō: erwägen</w:t>
            </w:r>
          </w:p>
          <w:p w:rsidR="00EC49CE" w:rsidRDefault="009268D8">
            <w:pPr>
              <w:pStyle w:val="Vokabeln"/>
              <w:framePr w:hSpace="0" w:wrap="auto" w:vAnchor="margin" w:hAnchor="text" w:xAlign="left" w:yAlign="inline"/>
            </w:pPr>
            <w:r>
              <w:t>affirmāre, affirmō: bekräftigen, beweisen</w:t>
            </w:r>
          </w:p>
          <w:p w:rsidR="00EC49CE" w:rsidRDefault="009268D8">
            <w:pPr>
              <w:pStyle w:val="Vokabeln"/>
              <w:framePr w:hSpace="0" w:wrap="auto" w:vAnchor="margin" w:hAnchor="text" w:xAlign="left" w:yAlign="inline"/>
            </w:pPr>
            <w:r>
              <w:t>texere, texō: flechten, zusammenfügen</w:t>
            </w:r>
          </w:p>
          <w:p w:rsidR="00EC49CE" w:rsidRDefault="009268D8">
            <w:pPr>
              <w:pStyle w:val="Vokabeln"/>
              <w:framePr w:hSpace="0" w:wrap="auto" w:vAnchor="margin" w:hAnchor="text" w:xAlign="left" w:yAlign="inline"/>
            </w:pPr>
            <w:r>
              <w:t>quāliter (&lt; quālis) (Adv.): wie</w:t>
            </w:r>
          </w:p>
          <w:p w:rsidR="00EC49CE" w:rsidRDefault="009268D8">
            <w:pPr>
              <w:pStyle w:val="Vokabeln"/>
              <w:framePr w:hSpace="0" w:wrap="auto" w:vAnchor="margin" w:hAnchor="text" w:xAlign="left" w:yAlign="inline"/>
            </w:pPr>
            <w:r>
              <w:t>in prīmis: zuerst</w:t>
            </w:r>
          </w:p>
          <w:p w:rsidR="00EC49CE" w:rsidRDefault="009268D8">
            <w:pPr>
              <w:pStyle w:val="Vokabeln"/>
              <w:framePr w:hSpace="0" w:wrap="auto" w:vAnchor="margin" w:hAnchor="text" w:xAlign="left" w:yAlign="inline"/>
            </w:pPr>
            <w:r>
              <w:t>ōrdināre, ōrdinō: anordnen</w:t>
            </w:r>
          </w:p>
          <w:p w:rsidR="00EC49CE" w:rsidRDefault="009268D8">
            <w:pPr>
              <w:pStyle w:val="Vokabeln"/>
              <w:framePr w:hSpace="0" w:wrap="auto" w:vAnchor="margin" w:hAnchor="text" w:xAlign="left" w:yAlign="inline"/>
            </w:pPr>
            <w:r>
              <w:t>ēloquī, ēloquor (&lt; loquī) (hier): ausformulieren, ausgestalten</w:t>
            </w:r>
          </w:p>
          <w:p w:rsidR="00EC49CE" w:rsidRDefault="009268D8">
            <w:pPr>
              <w:pStyle w:val="Vokabeln"/>
              <w:framePr w:hSpace="0" w:wrap="auto" w:vAnchor="margin" w:hAnchor="text" w:xAlign="left" w:yAlign="inline"/>
            </w:pPr>
            <w:r>
              <w:t>memorāre, memorō (&lt; memoria) (hier): auswendig lernen</w:t>
            </w:r>
          </w:p>
          <w:p w:rsidR="00EC49CE" w:rsidRDefault="009268D8">
            <w:pPr>
              <w:pStyle w:val="Vokabeln"/>
              <w:framePr w:hSpace="0" w:wrap="auto" w:vAnchor="margin" w:hAnchor="text" w:xAlign="left" w:yAlign="inline"/>
            </w:pPr>
            <w:r>
              <w:t>prōnūntiāre, prōnūntiō: (</w:t>
            </w:r>
            <w:r>
              <w:rPr>
                <w:i/>
              </w:rPr>
              <w:t>eine Rede</w:t>
            </w:r>
            <w:r>
              <w:t>) vortragen</w:t>
            </w:r>
          </w:p>
          <w:p w:rsidR="00EC49CE" w:rsidRDefault="009268D8">
            <w:pPr>
              <w:pStyle w:val="Vokabeln"/>
              <w:framePr w:hSpace="0" w:wrap="auto" w:vAnchor="margin" w:hAnchor="text" w:xAlign="left" w:yAlign="inline"/>
            </w:pPr>
            <w:r>
              <w:t>lēgitimus, a, um: gesetzmäßig</w:t>
            </w:r>
          </w:p>
          <w:p w:rsidR="00EC49CE" w:rsidRDefault="009268D8">
            <w:pPr>
              <w:pStyle w:val="Vokabeln"/>
              <w:framePr w:hSpace="0" w:wrap="auto" w:vAnchor="margin" w:hAnchor="text" w:xAlign="left" w:yAlign="inline"/>
            </w:pPr>
            <w:r>
              <w:t>sibimet: sich (selbst) (</w:t>
            </w:r>
            <w:r>
              <w:rPr>
                <w:i/>
              </w:rPr>
              <w:t>verstärktes sibi</w:t>
            </w:r>
            <w:r>
              <w:t>)</w:t>
            </w:r>
          </w:p>
          <w:p w:rsidR="00EC49CE" w:rsidRDefault="009268D8">
            <w:pPr>
              <w:pStyle w:val="Vokabeln"/>
              <w:framePr w:hSpace="0" w:wrap="auto" w:vAnchor="margin" w:hAnchor="text" w:xAlign="left" w:yAlign="inline"/>
            </w:pPr>
            <w:r>
              <w:t>quot: wie viele</w:t>
            </w:r>
          </w:p>
          <w:p w:rsidR="00EC49CE" w:rsidRDefault="009268D8">
            <w:pPr>
              <w:pStyle w:val="Vokabeln"/>
              <w:framePr w:hSpace="0" w:wrap="auto" w:vAnchor="margin" w:hAnchor="text" w:xAlign="left" w:yAlign="inline"/>
            </w:pPr>
            <w:r>
              <w:t>rhētor, rhētoris m (hier): Redner (= ōrātor)</w:t>
            </w:r>
          </w:p>
          <w:p w:rsidR="00EC49CE" w:rsidRDefault="009268D8">
            <w:pPr>
              <w:pStyle w:val="Vokabeln"/>
              <w:framePr w:hSpace="0" w:wrap="auto" w:vAnchor="margin" w:hAnchor="text" w:xAlign="left" w:yAlign="inline"/>
            </w:pPr>
            <w:r>
              <w:t>seriēs, seriēī f: Abfolge, Reihe</w:t>
            </w:r>
          </w:p>
          <w:p w:rsidR="00EC49CE" w:rsidRDefault="009268D8">
            <w:pPr>
              <w:pStyle w:val="Vokabeln"/>
              <w:framePr w:hSpace="0" w:wrap="auto" w:vAnchor="margin" w:hAnchor="text" w:xAlign="left" w:yAlign="inline"/>
            </w:pPr>
            <w:r>
              <w:t>prīncipium, ī n: Beginn</w:t>
            </w:r>
          </w:p>
          <w:p w:rsidR="00EC49CE" w:rsidRDefault="009268D8">
            <w:pPr>
              <w:pStyle w:val="Vokabeln"/>
              <w:framePr w:hSpace="0" w:wrap="auto" w:vAnchor="margin" w:hAnchor="text" w:xAlign="left" w:yAlign="inline"/>
            </w:pPr>
            <w:r>
              <w:t>ērigere, ērigō: aufrichten</w:t>
            </w:r>
          </w:p>
          <w:p w:rsidR="00EC49CE" w:rsidRDefault="009268D8">
            <w:pPr>
              <w:pStyle w:val="Vokabeln"/>
              <w:framePr w:hSpace="0" w:wrap="auto" w:vAnchor="margin" w:hAnchor="text" w:xAlign="left" w:yAlign="inline"/>
            </w:pPr>
            <w:r>
              <w:t>audītum, ī n: das Gehörte</w:t>
            </w:r>
          </w:p>
          <w:p w:rsidR="00EC49CE" w:rsidRDefault="009268D8">
            <w:pPr>
              <w:pStyle w:val="Vokabeln"/>
              <w:framePr w:hSpace="0" w:wrap="auto" w:vAnchor="margin" w:hAnchor="text" w:xAlign="left" w:yAlign="inline"/>
            </w:pPr>
            <w:r>
              <w:t>apparāre, apparō: vorbereiten</w:t>
            </w:r>
          </w:p>
          <w:p w:rsidR="00EC49CE" w:rsidRDefault="009268D8">
            <w:pPr>
              <w:pStyle w:val="Vokabeln"/>
              <w:framePr w:hSpace="0" w:wrap="auto" w:vAnchor="margin" w:hAnchor="text" w:xAlign="left" w:yAlign="inline"/>
            </w:pPr>
            <w:r>
              <w:t>attentus, a, um: aufmerksam</w:t>
            </w:r>
          </w:p>
          <w:p w:rsidR="00EC49CE" w:rsidRDefault="009268D8">
            <w:pPr>
              <w:pStyle w:val="Vokabeln"/>
              <w:framePr w:hSpace="0" w:wrap="auto" w:vAnchor="margin" w:hAnchor="text" w:xAlign="left" w:yAlign="inline"/>
            </w:pPr>
            <w:r>
              <w:t>docilis, e (&lt; docēre): gelehrig, aufnahmebereit</w:t>
            </w:r>
          </w:p>
          <w:p w:rsidR="00EC49CE" w:rsidRDefault="009268D8">
            <w:pPr>
              <w:pStyle w:val="Vokabeln"/>
              <w:framePr w:hSpace="0" w:wrap="auto" w:vAnchor="margin" w:hAnchor="text" w:xAlign="left" w:yAlign="inline"/>
            </w:pPr>
            <w:r>
              <w:t>benīgnus, a, um: wohlwollend, gutmütig</w:t>
            </w:r>
          </w:p>
          <w:p w:rsidR="00EC49CE" w:rsidRDefault="009268D8">
            <w:pPr>
              <w:pStyle w:val="Vokabeln"/>
              <w:framePr w:hSpace="0" w:wrap="auto" w:vAnchor="margin" w:hAnchor="text" w:xAlign="left" w:yAlign="inline"/>
            </w:pPr>
            <w:r>
              <w:t>audītor, audītōris &lt; audīre</w:t>
            </w:r>
          </w:p>
          <w:p w:rsidR="00EC49CE" w:rsidRDefault="009268D8">
            <w:pPr>
              <w:pStyle w:val="Vokabeln"/>
              <w:framePr w:hSpace="0" w:wrap="auto" w:vAnchor="margin" w:hAnchor="text" w:xAlign="left" w:yAlign="inline"/>
            </w:pPr>
            <w:r>
              <w:t>dēdicāre, dēdicō (hier): hingeben</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pStyle w:val="Vokabeln"/>
              <w:framePr w:hSpace="0" w:wrap="auto" w:vAnchor="margin" w:hAnchor="text" w:xAlign="left" w:yAlign="inline"/>
            </w:pPr>
            <w:r>
              <w:t>ad quem fīnem dēveniēns</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texitur: Wechsel vom Konjunktiv zum Indikativ</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contineat, texantur: Hier wird wieder der Konjunktiv gebraucht.</w:t>
            </w:r>
          </w:p>
          <w:p w:rsidR="00EC49CE" w:rsidRDefault="009268D8">
            <w:pPr>
              <w:pStyle w:val="Vokabeln"/>
              <w:framePr w:hSpace="0" w:wrap="auto" w:vAnchor="margin" w:hAnchor="text" w:xAlign="left" w:yAlign="inline"/>
              <w:rPr>
                <w:sz w:val="20"/>
              </w:rPr>
            </w:pPr>
            <w:r>
              <w:rPr>
                <w:sz w:val="20"/>
              </w:rPr>
              <w:t xml:space="preserve"> </w:t>
            </w: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KeinLeerraum"/>
              <w:spacing w:line="240" w:lineRule="exact"/>
              <w:rPr>
                <w:rFonts w:cs="Times New Roman"/>
                <w:i/>
                <w:szCs w:val="20"/>
              </w:rPr>
            </w:pPr>
          </w:p>
        </w:tc>
      </w:tr>
    </w:tbl>
    <w:p w:rsidR="00EC49CE" w:rsidRDefault="00EC49CE">
      <w:pPr>
        <w:rPr>
          <w:i/>
          <w:sz w:val="2"/>
          <w:szCs w:val="2"/>
        </w:rPr>
      </w:pP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F53ADD" w:rsidRPr="00312274" w:rsidTr="00BA4F3C">
        <w:tc>
          <w:tcPr>
            <w:tcW w:w="11624" w:type="dxa"/>
            <w:gridSpan w:val="2"/>
          </w:tcPr>
          <w:p w:rsidR="00F53ADD" w:rsidRPr="00101CE0" w:rsidRDefault="00F53ADD" w:rsidP="00F53ADD">
            <w:pPr>
              <w:pStyle w:val="KeinLeerraum"/>
              <w:rPr>
                <w:rFonts w:cs="Times New Roman"/>
                <w:sz w:val="32"/>
                <w:szCs w:val="24"/>
                <w:u w:val="single"/>
                <w:lang w:val="la-Latn"/>
              </w:rPr>
            </w:pPr>
            <w:r w:rsidRPr="00101CE0">
              <w:rPr>
                <w:rFonts w:cs="Times New Roman"/>
                <w:sz w:val="32"/>
                <w:szCs w:val="24"/>
                <w:u w:val="single"/>
                <w:lang w:val="la-Latn"/>
              </w:rPr>
              <w:lastRenderedPageBreak/>
              <w:t>Die Teile der Rede (Alanus ab Insulis, Anticlaudianus 3, 188–197)</w:t>
            </w:r>
          </w:p>
        </w:tc>
        <w:tc>
          <w:tcPr>
            <w:tcW w:w="3261" w:type="dxa"/>
          </w:tcPr>
          <w:p w:rsidR="00F53ADD" w:rsidRPr="00101CE0" w:rsidRDefault="00F53ADD" w:rsidP="00F53ADD">
            <w:pPr>
              <w:pStyle w:val="KeinLeerraum"/>
              <w:rPr>
                <w:b/>
                <w:sz w:val="24"/>
                <w:szCs w:val="24"/>
                <w:lang w:val="la-Latn"/>
              </w:rPr>
            </w:pPr>
          </w:p>
        </w:tc>
      </w:tr>
      <w:tr w:rsidR="00F53ADD" w:rsidRPr="00312274" w:rsidTr="00BA4F3C">
        <w:tc>
          <w:tcPr>
            <w:tcW w:w="11624" w:type="dxa"/>
            <w:gridSpan w:val="2"/>
          </w:tcPr>
          <w:p w:rsidR="00F53ADD" w:rsidRPr="00101CE0" w:rsidRDefault="00F53ADD" w:rsidP="00F53ADD">
            <w:pPr>
              <w:pStyle w:val="KeinLeerraum"/>
              <w:rPr>
                <w:rFonts w:cs="Times New Roman"/>
                <w:i/>
                <w:sz w:val="24"/>
                <w:szCs w:val="24"/>
                <w:lang w:val="la-Latn"/>
              </w:rPr>
            </w:pPr>
            <w:r w:rsidRPr="00101CE0">
              <w:rPr>
                <w:rFonts w:cs="Times New Roman"/>
                <w:i/>
                <w:sz w:val="24"/>
                <w:szCs w:val="24"/>
                <w:lang w:val="la-Latn"/>
              </w:rPr>
              <w:t>Die weiteren Teile der Rede werden in je zwei Versen erläutert und ihre Aufgaben werden dargestellt.</w:t>
            </w:r>
          </w:p>
          <w:p w:rsidR="00F53ADD" w:rsidRPr="00101CE0" w:rsidRDefault="00F53ADD" w:rsidP="00F53ADD">
            <w:pPr>
              <w:pStyle w:val="KeinLeerraum"/>
              <w:rPr>
                <w:b/>
                <w:sz w:val="24"/>
                <w:szCs w:val="24"/>
                <w:lang w:val="la-Latn"/>
              </w:rPr>
            </w:pPr>
          </w:p>
        </w:tc>
        <w:tc>
          <w:tcPr>
            <w:tcW w:w="3261" w:type="dxa"/>
          </w:tcPr>
          <w:p w:rsidR="00F53ADD" w:rsidRPr="00101CE0" w:rsidRDefault="00F53ADD" w:rsidP="00F53ADD">
            <w:pPr>
              <w:pStyle w:val="KeinLeerraum"/>
              <w:rPr>
                <w:b/>
                <w:sz w:val="24"/>
                <w:szCs w:val="24"/>
                <w:lang w:val="la-Latn"/>
              </w:rPr>
            </w:pPr>
          </w:p>
          <w:p w:rsidR="00F53ADD" w:rsidRPr="00101CE0" w:rsidRDefault="00F53ADD" w:rsidP="00F53ADD">
            <w:pPr>
              <w:pStyle w:val="KeinLeerraum"/>
              <w:rPr>
                <w:b/>
                <w:sz w:val="24"/>
                <w:szCs w:val="24"/>
                <w:lang w:val="la-Latn"/>
              </w:rPr>
            </w:pPr>
          </w:p>
        </w:tc>
      </w:tr>
      <w:tr w:rsidR="00F53ADD" w:rsidRPr="00312274" w:rsidTr="00BA4F3C">
        <w:tc>
          <w:tcPr>
            <w:tcW w:w="6521" w:type="dxa"/>
          </w:tcPr>
          <w:p w:rsidR="00F53ADD" w:rsidRPr="00101CE0" w:rsidRDefault="00F53ADD" w:rsidP="00F53ADD">
            <w:pPr>
              <w:pStyle w:val="Zitat"/>
              <w:rPr>
                <w:lang w:val="la-Latn"/>
              </w:rPr>
            </w:pPr>
            <w:r w:rsidRPr="00101CE0">
              <w:rPr>
                <w:lang w:val="la-Latn"/>
              </w:rPr>
              <w:t>Quomodo sub brevibus verbis narratio verum</w:t>
            </w:r>
          </w:p>
          <w:p w:rsidR="00F53ADD" w:rsidRPr="00101CE0" w:rsidRDefault="00F53ADD" w:rsidP="00F53ADD">
            <w:pPr>
              <w:pStyle w:val="Zitat"/>
              <w:rPr>
                <w:lang w:val="la-Latn"/>
              </w:rPr>
            </w:pPr>
            <w:r w:rsidRPr="00101CE0">
              <w:rPr>
                <w:lang w:val="la-Latn"/>
              </w:rPr>
              <w:t>explicat, aut latitans veri sub imagine falsum;</w:t>
            </w:r>
          </w:p>
          <w:p w:rsidR="00F53ADD" w:rsidRPr="00101CE0" w:rsidRDefault="00F53ADD" w:rsidP="00F53ADD">
            <w:pPr>
              <w:pStyle w:val="Zitat"/>
              <w:rPr>
                <w:lang w:val="la-Latn"/>
              </w:rPr>
            </w:pPr>
            <w:r w:rsidRPr="00101CE0">
              <w:rPr>
                <w:lang w:val="la-Latn"/>
              </w:rPr>
              <w:t>qualiter in summa particio colligit omne,</w:t>
            </w:r>
          </w:p>
          <w:p w:rsidR="00F53ADD" w:rsidRPr="00101CE0" w:rsidRDefault="00F53ADD" w:rsidP="00F53ADD">
            <w:pPr>
              <w:pStyle w:val="Zitat"/>
              <w:rPr>
                <w:lang w:val="la-Latn"/>
              </w:rPr>
            </w:pPr>
            <w:r w:rsidRPr="00101CE0">
              <w:rPr>
                <w:lang w:val="la-Latn"/>
              </w:rPr>
              <w:t>quod sequitur, dispersa legens, diffusa coarctans;</w:t>
            </w:r>
          </w:p>
          <w:p w:rsidR="00F53ADD" w:rsidRPr="00101CE0" w:rsidRDefault="00F53ADD" w:rsidP="00F53ADD">
            <w:pPr>
              <w:pStyle w:val="Zitat"/>
              <w:rPr>
                <w:lang w:val="la-Latn"/>
              </w:rPr>
            </w:pPr>
            <w:r w:rsidRPr="00101CE0">
              <w:rPr>
                <w:lang w:val="la-Latn"/>
              </w:rPr>
              <w:t>qualiter in partem faciens assertio nostram</w:t>
            </w:r>
          </w:p>
          <w:p w:rsidR="00F53ADD" w:rsidRPr="00101CE0" w:rsidRDefault="00F53ADD" w:rsidP="00F53ADD">
            <w:pPr>
              <w:pStyle w:val="Zitat"/>
              <w:rPr>
                <w:lang w:val="la-Latn"/>
              </w:rPr>
            </w:pPr>
            <w:r w:rsidRPr="00101CE0">
              <w:rPr>
                <w:lang w:val="la-Latn"/>
              </w:rPr>
              <w:t>argumenta notat, probat, exprimit, astruit, infert;</w:t>
            </w:r>
          </w:p>
          <w:p w:rsidR="00F53ADD" w:rsidRPr="00101CE0" w:rsidRDefault="00F53ADD" w:rsidP="00F53ADD">
            <w:pPr>
              <w:pStyle w:val="Zitat"/>
              <w:rPr>
                <w:lang w:val="la-Latn"/>
              </w:rPr>
            </w:pPr>
            <w:r w:rsidRPr="00101CE0">
              <w:rPr>
                <w:lang w:val="la-Latn"/>
              </w:rPr>
              <w:t>qualiter oppositam ferit infirmacio partem,</w:t>
            </w:r>
          </w:p>
          <w:p w:rsidR="00F53ADD" w:rsidRPr="00101CE0" w:rsidRDefault="00F53ADD" w:rsidP="00F53ADD">
            <w:pPr>
              <w:pStyle w:val="Zitat"/>
              <w:rPr>
                <w:lang w:val="la-Latn"/>
              </w:rPr>
            </w:pPr>
            <w:r w:rsidRPr="00101CE0">
              <w:rPr>
                <w:lang w:val="la-Latn"/>
              </w:rPr>
              <w:t xml:space="preserve">destruit, infirmat, dissolvit, dissipat, urget; </w:t>
            </w:r>
          </w:p>
          <w:p w:rsidR="00F53ADD" w:rsidRPr="00101CE0" w:rsidRDefault="00F53ADD" w:rsidP="00F53ADD">
            <w:pPr>
              <w:pStyle w:val="Zitat"/>
              <w:rPr>
                <w:lang w:val="la-Latn"/>
              </w:rPr>
            </w:pPr>
            <w:r w:rsidRPr="00101CE0">
              <w:rPr>
                <w:lang w:val="la-Latn"/>
              </w:rPr>
              <w:t>quomodo concludens conclusio singula fine</w:t>
            </w:r>
          </w:p>
          <w:p w:rsidR="00F53ADD" w:rsidRPr="00101CE0" w:rsidRDefault="00F53ADD" w:rsidP="00F53ADD">
            <w:pPr>
              <w:pStyle w:val="Zitat"/>
              <w:rPr>
                <w:lang w:val="la-Latn"/>
              </w:rPr>
            </w:pPr>
            <w:r w:rsidRPr="00101CE0">
              <w:rPr>
                <w:lang w:val="la-Latn"/>
              </w:rPr>
              <w:t>legitimo claudit, sistens sermonis habenas.</w:t>
            </w:r>
          </w:p>
        </w:tc>
        <w:tc>
          <w:tcPr>
            <w:tcW w:w="5103" w:type="dxa"/>
            <w:tcBorders>
              <w:right w:val="single" w:sz="4" w:space="0" w:color="auto"/>
            </w:tcBorders>
          </w:tcPr>
          <w:p w:rsidR="00F53ADD" w:rsidRPr="00101CE0" w:rsidRDefault="00F53ADD" w:rsidP="00F53ADD">
            <w:pPr>
              <w:pStyle w:val="Vokabeln"/>
              <w:framePr w:hSpace="0" w:wrap="auto" w:vAnchor="margin" w:hAnchor="text" w:xAlign="left" w:yAlign="inline"/>
              <w:spacing w:line="200" w:lineRule="exact"/>
              <w:rPr>
                <w:lang w:val="la-Latn"/>
              </w:rPr>
            </w:pPr>
          </w:p>
          <w:p w:rsidR="00F53ADD" w:rsidRPr="00101CE0" w:rsidRDefault="00F53ADD" w:rsidP="00F53ADD">
            <w:pPr>
              <w:pStyle w:val="Vokabeln"/>
              <w:framePr w:hSpace="0" w:wrap="auto" w:vAnchor="margin" w:hAnchor="text" w:xAlign="left" w:yAlign="inline"/>
              <w:rPr>
                <w:lang w:val="la-Latn"/>
              </w:rPr>
            </w:pPr>
            <w:r w:rsidRPr="00101CE0">
              <w:rPr>
                <w:lang w:val="la-Latn"/>
              </w:rPr>
              <w:t>narrātiō, ōnis f: Erzählung, Darlegung</w:t>
            </w:r>
          </w:p>
          <w:p w:rsidR="00F53ADD" w:rsidRPr="00101CE0" w:rsidRDefault="00F53ADD" w:rsidP="00F53ADD">
            <w:pPr>
              <w:pStyle w:val="Vokabeln"/>
              <w:framePr w:hSpace="0" w:wrap="auto" w:vAnchor="margin" w:hAnchor="text" w:xAlign="left" w:yAlign="inline"/>
              <w:rPr>
                <w:lang w:val="la-Latn"/>
              </w:rPr>
            </w:pPr>
            <w:r w:rsidRPr="00101CE0">
              <w:rPr>
                <w:lang w:val="la-Latn"/>
              </w:rPr>
              <w:t>explicāre, explicō: darlegen</w:t>
            </w:r>
          </w:p>
          <w:p w:rsidR="00F53ADD" w:rsidRPr="00101CE0" w:rsidRDefault="00F53ADD" w:rsidP="00F53ADD">
            <w:pPr>
              <w:pStyle w:val="Vokabeln"/>
              <w:framePr w:hSpace="0" w:wrap="auto" w:vAnchor="margin" w:hAnchor="text" w:xAlign="left" w:yAlign="inline"/>
              <w:rPr>
                <w:lang w:val="la-Latn"/>
              </w:rPr>
            </w:pPr>
            <w:r w:rsidRPr="00101CE0">
              <w:rPr>
                <w:lang w:val="la-Latn"/>
              </w:rPr>
              <w:t>quāliter = quōmodo</w:t>
            </w:r>
          </w:p>
          <w:p w:rsidR="00F53ADD" w:rsidRPr="00101CE0" w:rsidRDefault="00F53ADD" w:rsidP="00F53ADD">
            <w:pPr>
              <w:pStyle w:val="Vokabeln"/>
              <w:framePr w:hSpace="0" w:wrap="auto" w:vAnchor="margin" w:hAnchor="text" w:xAlign="left" w:yAlign="inline"/>
              <w:rPr>
                <w:lang w:val="la-Latn"/>
              </w:rPr>
            </w:pPr>
            <w:r w:rsidRPr="00101CE0">
              <w:rPr>
                <w:lang w:val="la-Latn"/>
              </w:rPr>
              <w:t>latitāre, latitō: sich versteckt halten, verstecken</w:t>
            </w:r>
          </w:p>
          <w:p w:rsidR="00F53ADD" w:rsidRPr="00101CE0" w:rsidRDefault="00F53ADD" w:rsidP="00F53ADD">
            <w:pPr>
              <w:pStyle w:val="Vokabeln"/>
              <w:framePr w:hSpace="0" w:wrap="auto" w:vAnchor="margin" w:hAnchor="text" w:xAlign="left" w:yAlign="inline"/>
              <w:rPr>
                <w:lang w:val="la-Latn"/>
              </w:rPr>
            </w:pPr>
            <w:r w:rsidRPr="00101CE0">
              <w:rPr>
                <w:lang w:val="la-Latn"/>
              </w:rPr>
              <w:t>in summā (hier): kurz, in Kürze</w:t>
            </w:r>
          </w:p>
          <w:p w:rsidR="00F53ADD" w:rsidRPr="00101CE0" w:rsidRDefault="00F53ADD" w:rsidP="00F53ADD">
            <w:pPr>
              <w:pStyle w:val="Vokabeln"/>
              <w:framePr w:hSpace="0" w:wrap="auto" w:vAnchor="margin" w:hAnchor="text" w:xAlign="left" w:yAlign="inline"/>
              <w:rPr>
                <w:lang w:val="la-Latn"/>
              </w:rPr>
            </w:pPr>
            <w:r w:rsidRPr="00101CE0">
              <w:rPr>
                <w:lang w:val="la-Latn"/>
              </w:rPr>
              <w:t xml:space="preserve">partītiō, ōnis f (&lt; pars): Einteilung, Gliederung </w:t>
            </w:r>
          </w:p>
          <w:p w:rsidR="00F53ADD" w:rsidRPr="00101CE0" w:rsidRDefault="00F53ADD" w:rsidP="00F53ADD">
            <w:pPr>
              <w:pStyle w:val="Vokabeln"/>
              <w:framePr w:hSpace="0" w:wrap="auto" w:vAnchor="margin" w:hAnchor="text" w:xAlign="left" w:yAlign="inline"/>
              <w:rPr>
                <w:lang w:val="la-Latn"/>
              </w:rPr>
            </w:pPr>
            <w:r w:rsidRPr="00101CE0">
              <w:rPr>
                <w:lang w:val="la-Latn"/>
              </w:rPr>
              <w:t>dispersus, a, um: zerstreut</w:t>
            </w:r>
          </w:p>
          <w:p w:rsidR="00F53ADD" w:rsidRPr="00101CE0" w:rsidRDefault="00F53ADD" w:rsidP="00F53ADD">
            <w:pPr>
              <w:pStyle w:val="Vokabeln"/>
              <w:framePr w:hSpace="0" w:wrap="auto" w:vAnchor="margin" w:hAnchor="text" w:xAlign="left" w:yAlign="inline"/>
              <w:rPr>
                <w:lang w:val="la-Latn"/>
              </w:rPr>
            </w:pPr>
            <w:r w:rsidRPr="00101CE0">
              <w:rPr>
                <w:lang w:val="la-Latn"/>
              </w:rPr>
              <w:t>diffūsus, a, um: verteilt, zerstreut</w:t>
            </w:r>
          </w:p>
          <w:p w:rsidR="00F53ADD" w:rsidRPr="00101CE0" w:rsidRDefault="00F53ADD" w:rsidP="00F53ADD">
            <w:pPr>
              <w:pStyle w:val="Vokabeln"/>
              <w:framePr w:hSpace="0" w:wrap="auto" w:vAnchor="margin" w:hAnchor="text" w:xAlign="left" w:yAlign="inline"/>
              <w:rPr>
                <w:lang w:val="la-Latn"/>
              </w:rPr>
            </w:pPr>
            <w:r w:rsidRPr="00101CE0">
              <w:rPr>
                <w:lang w:val="la-Latn"/>
              </w:rPr>
              <w:t>coar(c)tāre, coar(c)tō: zusammendrängen, abkürzen</w:t>
            </w:r>
          </w:p>
          <w:p w:rsidR="00F53ADD" w:rsidRPr="00101CE0" w:rsidRDefault="00F53ADD" w:rsidP="00F53ADD">
            <w:pPr>
              <w:pStyle w:val="Vokabeln"/>
              <w:framePr w:hSpace="0" w:wrap="auto" w:vAnchor="margin" w:hAnchor="text" w:xAlign="left" w:yAlign="inline"/>
              <w:rPr>
                <w:lang w:val="la-Latn"/>
              </w:rPr>
            </w:pPr>
            <w:r w:rsidRPr="00101CE0">
              <w:rPr>
                <w:lang w:val="la-Latn"/>
              </w:rPr>
              <w:t>assertiō, ōnis f: Behauptung</w:t>
            </w:r>
          </w:p>
          <w:p w:rsidR="00F53ADD" w:rsidRPr="00101CE0" w:rsidRDefault="00F53ADD" w:rsidP="00F53ADD">
            <w:pPr>
              <w:pStyle w:val="Vokabeln"/>
              <w:framePr w:hSpace="0" w:wrap="auto" w:vAnchor="margin" w:hAnchor="text" w:xAlign="left" w:yAlign="inline"/>
              <w:rPr>
                <w:lang w:val="la-Latn"/>
              </w:rPr>
            </w:pPr>
            <w:r w:rsidRPr="00101CE0">
              <w:rPr>
                <w:lang w:val="la-Latn"/>
              </w:rPr>
              <w:t>in partem facere: Partei ergreifen (für jdn.)</w:t>
            </w:r>
          </w:p>
          <w:p w:rsidR="00F53ADD" w:rsidRPr="00101CE0" w:rsidRDefault="00F53ADD" w:rsidP="00F53ADD">
            <w:pPr>
              <w:pStyle w:val="Vokabeln"/>
              <w:framePr w:hSpace="0" w:wrap="auto" w:vAnchor="margin" w:hAnchor="text" w:xAlign="left" w:yAlign="inline"/>
              <w:rPr>
                <w:lang w:val="la-Latn"/>
              </w:rPr>
            </w:pPr>
            <w:r w:rsidRPr="00101CE0">
              <w:rPr>
                <w:lang w:val="la-Latn"/>
              </w:rPr>
              <w:t>argūmentum, ī n: Beweismittel, Indiz, Argument</w:t>
            </w:r>
          </w:p>
          <w:p w:rsidR="00F53ADD" w:rsidRPr="00101CE0" w:rsidRDefault="00F53ADD" w:rsidP="00F53ADD">
            <w:pPr>
              <w:pStyle w:val="Vokabeln"/>
              <w:framePr w:hSpace="0" w:wrap="auto" w:vAnchor="margin" w:hAnchor="text" w:xAlign="left" w:yAlign="inline"/>
              <w:rPr>
                <w:lang w:val="la-Latn"/>
              </w:rPr>
            </w:pPr>
            <w:r w:rsidRPr="00101CE0">
              <w:rPr>
                <w:lang w:val="la-Latn"/>
              </w:rPr>
              <w:t>notāre, notō (hier): etw. hervorheben, auf etw. hinweisen</w:t>
            </w:r>
          </w:p>
          <w:p w:rsidR="00F53ADD" w:rsidRPr="00101CE0" w:rsidRDefault="00F53ADD" w:rsidP="00F53ADD">
            <w:pPr>
              <w:pStyle w:val="Vokabeln"/>
              <w:framePr w:hSpace="0" w:wrap="auto" w:vAnchor="margin" w:hAnchor="text" w:xAlign="left" w:yAlign="inline"/>
              <w:rPr>
                <w:lang w:val="la-Latn"/>
              </w:rPr>
            </w:pPr>
            <w:r w:rsidRPr="00101CE0">
              <w:rPr>
                <w:lang w:val="la-Latn"/>
              </w:rPr>
              <w:t>exprimere, exprimō: zum Ausdruck bringen</w:t>
            </w:r>
          </w:p>
          <w:p w:rsidR="00F53ADD" w:rsidRPr="00101CE0" w:rsidRDefault="00F53ADD" w:rsidP="00F53ADD">
            <w:pPr>
              <w:pStyle w:val="Vokabeln"/>
              <w:framePr w:hSpace="0" w:wrap="auto" w:vAnchor="margin" w:hAnchor="text" w:xAlign="left" w:yAlign="inline"/>
              <w:rPr>
                <w:lang w:val="la-Latn"/>
              </w:rPr>
            </w:pPr>
            <w:r w:rsidRPr="00101CE0">
              <w:rPr>
                <w:lang w:val="la-Latn"/>
              </w:rPr>
              <w:t>astruere, astruō: hinzufügen</w:t>
            </w:r>
          </w:p>
          <w:p w:rsidR="00F53ADD" w:rsidRPr="00101CE0" w:rsidRDefault="00F53ADD" w:rsidP="00F53ADD">
            <w:pPr>
              <w:pStyle w:val="Vokabeln"/>
              <w:framePr w:hSpace="0" w:wrap="auto" w:vAnchor="margin" w:hAnchor="text" w:xAlign="left" w:yAlign="inline"/>
              <w:rPr>
                <w:lang w:val="la-Latn"/>
              </w:rPr>
            </w:pPr>
            <w:r w:rsidRPr="00101CE0">
              <w:rPr>
                <w:lang w:val="la-Latn"/>
              </w:rPr>
              <w:t>oppositus, a, um (&lt; oppōnere) (hier): gegnerisch</w:t>
            </w:r>
          </w:p>
          <w:p w:rsidR="00F53ADD" w:rsidRPr="00101CE0" w:rsidRDefault="00F53ADD" w:rsidP="00F53ADD">
            <w:pPr>
              <w:pStyle w:val="Vokabeln"/>
              <w:framePr w:hSpace="0" w:wrap="auto" w:vAnchor="margin" w:hAnchor="text" w:xAlign="left" w:yAlign="inline"/>
              <w:rPr>
                <w:lang w:val="la-Latn"/>
              </w:rPr>
            </w:pPr>
            <w:r w:rsidRPr="00101CE0">
              <w:rPr>
                <w:lang w:val="la-Latn"/>
              </w:rPr>
              <w:t>ferīre, feriō: schlagen, treffen, angreifen</w:t>
            </w:r>
          </w:p>
          <w:p w:rsidR="00F53ADD" w:rsidRPr="00101CE0" w:rsidRDefault="00F53ADD" w:rsidP="00F53ADD">
            <w:pPr>
              <w:pStyle w:val="Vokabeln"/>
              <w:framePr w:hSpace="0" w:wrap="auto" w:vAnchor="margin" w:hAnchor="text" w:xAlign="left" w:yAlign="inline"/>
              <w:rPr>
                <w:lang w:val="la-Latn"/>
              </w:rPr>
            </w:pPr>
            <w:r w:rsidRPr="00101CE0">
              <w:rPr>
                <w:lang w:val="la-Latn"/>
              </w:rPr>
              <w:t>īnfirmātiō, ōnis f (&lt; firmus): Widerlegung, Entkräftung</w:t>
            </w:r>
          </w:p>
          <w:p w:rsidR="00F53ADD" w:rsidRPr="00101CE0" w:rsidRDefault="00F53ADD" w:rsidP="00F53ADD">
            <w:pPr>
              <w:pStyle w:val="Vokabeln"/>
              <w:framePr w:hSpace="0" w:wrap="auto" w:vAnchor="margin" w:hAnchor="text" w:xAlign="left" w:yAlign="inline"/>
              <w:rPr>
                <w:lang w:val="la-Latn"/>
              </w:rPr>
            </w:pPr>
            <w:r w:rsidRPr="00101CE0">
              <w:rPr>
                <w:lang w:val="la-Latn"/>
              </w:rPr>
              <w:t>dēstruere, dēstruō: zerstören, vernichten</w:t>
            </w:r>
          </w:p>
          <w:p w:rsidR="00F53ADD" w:rsidRPr="00101CE0" w:rsidRDefault="00F53ADD" w:rsidP="00F53ADD">
            <w:pPr>
              <w:pStyle w:val="Vokabeln"/>
              <w:framePr w:hSpace="0" w:wrap="auto" w:vAnchor="margin" w:hAnchor="text" w:xAlign="left" w:yAlign="inline"/>
              <w:rPr>
                <w:lang w:val="la-Latn"/>
              </w:rPr>
            </w:pPr>
            <w:r w:rsidRPr="00101CE0">
              <w:rPr>
                <w:lang w:val="la-Latn"/>
              </w:rPr>
              <w:t>īnfirmāre, īnfirmō (&lt; firmus): entkräften</w:t>
            </w:r>
          </w:p>
          <w:p w:rsidR="00F53ADD" w:rsidRPr="00101CE0" w:rsidRDefault="00F53ADD" w:rsidP="00F53ADD">
            <w:pPr>
              <w:pStyle w:val="Vokabeln"/>
              <w:framePr w:hSpace="0" w:wrap="auto" w:vAnchor="margin" w:hAnchor="text" w:xAlign="left" w:yAlign="inline"/>
              <w:rPr>
                <w:lang w:val="la-Latn"/>
              </w:rPr>
            </w:pPr>
            <w:r w:rsidRPr="00101CE0">
              <w:rPr>
                <w:lang w:val="la-Latn"/>
              </w:rPr>
              <w:t>dissolvere, dissolvō (&lt; solvere): auflösen, widerlegen</w:t>
            </w:r>
          </w:p>
          <w:p w:rsidR="00F53ADD" w:rsidRPr="00101CE0" w:rsidRDefault="00F53ADD" w:rsidP="00F53ADD">
            <w:pPr>
              <w:pStyle w:val="Vokabeln"/>
              <w:framePr w:hSpace="0" w:wrap="auto" w:vAnchor="margin" w:hAnchor="text" w:xAlign="left" w:yAlign="inline"/>
              <w:rPr>
                <w:lang w:val="la-Latn"/>
              </w:rPr>
            </w:pPr>
            <w:r w:rsidRPr="00101CE0">
              <w:rPr>
                <w:lang w:val="la-Latn"/>
              </w:rPr>
              <w:t>dissipāre, dissipō: zerstreuen, zerstören</w:t>
            </w:r>
          </w:p>
          <w:p w:rsidR="00F53ADD" w:rsidRPr="00101CE0" w:rsidRDefault="00F53ADD" w:rsidP="00F53ADD">
            <w:pPr>
              <w:pStyle w:val="Vokabeln"/>
              <w:framePr w:hSpace="0" w:wrap="auto" w:vAnchor="margin" w:hAnchor="text" w:xAlign="left" w:yAlign="inline"/>
              <w:rPr>
                <w:lang w:val="la-Latn"/>
              </w:rPr>
            </w:pPr>
            <w:r w:rsidRPr="00101CE0">
              <w:rPr>
                <w:lang w:val="la-Latn"/>
              </w:rPr>
              <w:t>urgēre, urgeō: (</w:t>
            </w:r>
            <w:r w:rsidRPr="00101CE0">
              <w:rPr>
                <w:i/>
                <w:lang w:val="la-Latn"/>
              </w:rPr>
              <w:t>hart</w:t>
            </w:r>
            <w:r w:rsidRPr="00101CE0">
              <w:rPr>
                <w:lang w:val="la-Latn"/>
              </w:rPr>
              <w:t>) bedrängen</w:t>
            </w:r>
          </w:p>
          <w:p w:rsidR="00F53ADD" w:rsidRPr="00101CE0" w:rsidRDefault="00F53ADD" w:rsidP="00F53ADD">
            <w:pPr>
              <w:pStyle w:val="Vokabeln"/>
              <w:framePr w:hSpace="0" w:wrap="auto" w:vAnchor="margin" w:hAnchor="text" w:xAlign="left" w:yAlign="inline"/>
              <w:rPr>
                <w:lang w:val="la-Latn"/>
              </w:rPr>
            </w:pPr>
            <w:r w:rsidRPr="00101CE0">
              <w:rPr>
                <w:lang w:val="la-Latn"/>
              </w:rPr>
              <w:t>conclūdere, conclūdō (&gt; conclūsiō): abschließen, zusammenfassen</w:t>
            </w:r>
          </w:p>
          <w:p w:rsidR="00F53ADD" w:rsidRPr="00101CE0" w:rsidRDefault="00F53ADD" w:rsidP="00F53ADD">
            <w:pPr>
              <w:pStyle w:val="Vokabeln"/>
              <w:framePr w:hSpace="0" w:wrap="auto" w:vAnchor="margin" w:hAnchor="text" w:xAlign="left" w:yAlign="inline"/>
              <w:rPr>
                <w:lang w:val="la-Latn"/>
              </w:rPr>
            </w:pPr>
            <w:r w:rsidRPr="00101CE0">
              <w:rPr>
                <w:lang w:val="la-Latn"/>
              </w:rPr>
              <w:t>sistere habēnās (hier): die Zügel anziehen (</w:t>
            </w:r>
            <w:r w:rsidRPr="00101CE0">
              <w:rPr>
                <w:i/>
                <w:lang w:val="la-Latn"/>
              </w:rPr>
              <w:t>zum Stoppen</w:t>
            </w:r>
            <w:r w:rsidRPr="00101CE0">
              <w:rPr>
                <w:lang w:val="la-Latn"/>
              </w:rPr>
              <w:t xml:space="preserve">) </w:t>
            </w:r>
          </w:p>
        </w:tc>
        <w:tc>
          <w:tcPr>
            <w:tcW w:w="3261" w:type="dxa"/>
            <w:tcBorders>
              <w:left w:val="single" w:sz="4" w:space="0" w:color="auto"/>
            </w:tcBorders>
          </w:tcPr>
          <w:p w:rsidR="00F53ADD" w:rsidRPr="00101CE0" w:rsidRDefault="00F53ADD" w:rsidP="00F53ADD">
            <w:pPr>
              <w:pStyle w:val="KeinLeerraum"/>
              <w:spacing w:after="0" w:line="200" w:lineRule="exact"/>
              <w:contextualSpacing w:val="0"/>
              <w:rPr>
                <w:rFonts w:cs="Times New Roman"/>
                <w:b/>
                <w:i/>
                <w:sz w:val="18"/>
                <w:szCs w:val="18"/>
                <w:lang w:val="la-Latn"/>
              </w:rPr>
            </w:pPr>
          </w:p>
          <w:p w:rsidR="00F53ADD" w:rsidRPr="00101CE0" w:rsidRDefault="00F53ADD" w:rsidP="00F53ADD">
            <w:pPr>
              <w:pStyle w:val="Vokabeln"/>
              <w:framePr w:hSpace="0" w:wrap="auto" w:vAnchor="margin" w:hAnchor="text" w:xAlign="left" w:yAlign="inline"/>
              <w:rPr>
                <w:lang w:val="la-Latn"/>
              </w:rPr>
            </w:pPr>
            <w:r w:rsidRPr="00101CE0">
              <w:rPr>
                <w:lang w:val="la-Latn"/>
              </w:rPr>
              <w:t xml:space="preserve">Quōmodo … explicat …; quāliter … colligit … usw.: Obwohl es sich um indirekte Fragen handelt, steht der Indikativ statt des eigentlich zu erwartenden Konjunktivs. </w:t>
            </w:r>
          </w:p>
          <w:p w:rsidR="00F53ADD" w:rsidRPr="00101CE0" w:rsidRDefault="00F53ADD" w:rsidP="00F53ADD">
            <w:pPr>
              <w:pStyle w:val="Vokabeln"/>
              <w:framePr w:hSpace="0" w:wrap="auto" w:vAnchor="margin" w:hAnchor="text" w:xAlign="left" w:yAlign="inline"/>
              <w:rPr>
                <w:sz w:val="20"/>
                <w:lang w:val="la-Latn"/>
              </w:rPr>
            </w:pPr>
            <w:r w:rsidRPr="00101CE0">
              <w:rPr>
                <w:sz w:val="20"/>
                <w:lang w:val="la-Latn"/>
              </w:rPr>
              <w:t xml:space="preserve"> </w:t>
            </w:r>
          </w:p>
          <w:p w:rsidR="00F53ADD" w:rsidRPr="00101CE0" w:rsidRDefault="00F53ADD" w:rsidP="00F53ADD">
            <w:pPr>
              <w:pStyle w:val="Vokabeln"/>
              <w:framePr w:hSpace="0" w:wrap="auto" w:vAnchor="margin" w:hAnchor="text" w:xAlign="left" w:yAlign="inline"/>
              <w:rPr>
                <w:sz w:val="20"/>
                <w:lang w:val="la-Latn"/>
              </w:rPr>
            </w:pPr>
          </w:p>
          <w:p w:rsidR="00F53ADD" w:rsidRPr="00101CE0" w:rsidRDefault="00F53ADD" w:rsidP="00F53ADD">
            <w:pPr>
              <w:pStyle w:val="Vokabeln"/>
              <w:framePr w:hSpace="0" w:wrap="auto" w:vAnchor="margin" w:hAnchor="text" w:xAlign="left" w:yAlign="inline"/>
              <w:rPr>
                <w:sz w:val="20"/>
                <w:lang w:val="la-Latn"/>
              </w:rPr>
            </w:pPr>
          </w:p>
          <w:p w:rsidR="00F53ADD" w:rsidRPr="00101CE0" w:rsidRDefault="00F53ADD" w:rsidP="00F53ADD">
            <w:pPr>
              <w:pStyle w:val="Vokabeln"/>
              <w:framePr w:hSpace="0" w:wrap="auto" w:vAnchor="margin" w:hAnchor="text" w:xAlign="left" w:yAlign="inline"/>
              <w:rPr>
                <w:sz w:val="20"/>
                <w:lang w:val="la-Latn"/>
              </w:rPr>
            </w:pPr>
          </w:p>
          <w:p w:rsidR="00F53ADD" w:rsidRPr="00101CE0" w:rsidRDefault="00F53ADD" w:rsidP="00F53ADD">
            <w:pPr>
              <w:pStyle w:val="Vokabeln"/>
              <w:framePr w:hSpace="0" w:wrap="auto" w:vAnchor="margin" w:hAnchor="text" w:xAlign="left" w:yAlign="inline"/>
              <w:rPr>
                <w:sz w:val="20"/>
                <w:lang w:val="la-Latn"/>
              </w:rPr>
            </w:pPr>
          </w:p>
          <w:p w:rsidR="00F53ADD" w:rsidRPr="00101CE0" w:rsidRDefault="00F53ADD" w:rsidP="00F53ADD">
            <w:pPr>
              <w:pStyle w:val="KeinLeerraum"/>
              <w:spacing w:line="240" w:lineRule="exact"/>
              <w:contextualSpacing w:val="0"/>
              <w:rPr>
                <w:rFonts w:cs="Times New Roman"/>
                <w:i/>
                <w:szCs w:val="20"/>
                <w:lang w:val="la-Latn"/>
              </w:rPr>
            </w:pPr>
          </w:p>
          <w:p w:rsidR="00F53ADD" w:rsidRPr="00101CE0" w:rsidRDefault="00F53ADD" w:rsidP="00F53ADD">
            <w:pPr>
              <w:pStyle w:val="KeinLeerraum"/>
              <w:spacing w:line="240" w:lineRule="exact"/>
              <w:rPr>
                <w:rFonts w:cs="Times New Roman"/>
                <w:i/>
                <w:szCs w:val="20"/>
                <w:lang w:val="la-Latn"/>
              </w:rPr>
            </w:pPr>
          </w:p>
        </w:tc>
      </w:tr>
    </w:tbl>
    <w:p w:rsidR="00F53ADD" w:rsidRDefault="00F53ADD" w:rsidP="00F53ADD">
      <w:pPr>
        <w:pStyle w:val="KeinLeerraum"/>
        <w:tabs>
          <w:tab w:val="left" w:pos="2923"/>
        </w:tabs>
        <w:rPr>
          <w:sz w:val="16"/>
          <w:szCs w:val="24"/>
        </w:rPr>
      </w:pPr>
      <w:r>
        <w:rPr>
          <w:sz w:val="16"/>
          <w:szCs w:val="24"/>
        </w:rPr>
        <w:tab/>
      </w:r>
    </w:p>
    <w:p w:rsidR="00F53ADD" w:rsidRDefault="00F53ADD" w:rsidP="00F53ADD">
      <w:pPr>
        <w:pStyle w:val="KeinLeerraum"/>
      </w:pPr>
    </w:p>
    <w:p w:rsidR="00F53ADD" w:rsidRPr="00EA09A4" w:rsidRDefault="00F53ADD" w:rsidP="00F53ADD">
      <w:pPr>
        <w:rPr>
          <w:b/>
          <w:u w:val="single"/>
        </w:rPr>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Cicero, Vater der Rhetorik (Alanus ab Insulis, Anticlaudianus 3, 227–235)</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Cicero wird als der Vater der Rhetorik dargestellt. Im folgenden Kapitel geht es um weitere Lehrer und Vorbilder der Rhetorik: Quintilian, Symmachus und Sidonius. Abgedruckt sind die Verse zu Quintilian.</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Illic rhetoricam sibi soli Marcus adoptat,</w:t>
            </w:r>
          </w:p>
          <w:p w:rsidR="00EC49CE" w:rsidRDefault="009268D8">
            <w:pPr>
              <w:pStyle w:val="Zitat"/>
            </w:pPr>
            <w:r>
              <w:t>immo parit, quare Cyceronis filia dici</w:t>
            </w:r>
          </w:p>
          <w:p w:rsidR="00EC49CE" w:rsidRDefault="009268D8">
            <w:pPr>
              <w:pStyle w:val="Zitat"/>
            </w:pPr>
            <w:r>
              <w:t>ars merito poterit, quam gignit Tullius, a quo</w:t>
            </w:r>
          </w:p>
          <w:p w:rsidR="00EC49CE" w:rsidRDefault="009268D8">
            <w:pPr>
              <w:pStyle w:val="Zitat"/>
            </w:pPr>
            <w:r>
              <w:t xml:space="preserve">ars ortum ducens censeri Tullia posset. </w:t>
            </w:r>
          </w:p>
          <w:p w:rsidR="00EC49CE" w:rsidRDefault="009268D8">
            <w:pPr>
              <w:pStyle w:val="Zitat"/>
            </w:pPr>
            <w:r>
              <w:t>Illic multiplici presignit carmina flore</w:t>
            </w:r>
          </w:p>
          <w:p w:rsidR="00EC49CE" w:rsidRDefault="009268D8">
            <w:pPr>
              <w:pStyle w:val="Zitat"/>
            </w:pPr>
            <w:r>
              <w:t>sermonisque notas Ennodius</w:t>
            </w:r>
            <w:r>
              <w:rPr>
                <w:rStyle w:val="Funotenzeichen"/>
              </w:rPr>
              <w:footnoteReference w:id="3"/>
            </w:r>
            <w:r>
              <w:t xml:space="preserve"> effricat omnes.</w:t>
            </w:r>
          </w:p>
          <w:p w:rsidR="00EC49CE" w:rsidRDefault="009268D8">
            <w:pPr>
              <w:pStyle w:val="Zitat"/>
            </w:pPr>
            <w:r>
              <w:t>Quintilianus</w:t>
            </w:r>
            <w:r>
              <w:rPr>
                <w:rStyle w:val="Funotenzeichen"/>
              </w:rPr>
              <w:footnoteReference w:id="4"/>
            </w:r>
            <w:r>
              <w:t xml:space="preserve"> adest quadam sub imagine veri</w:t>
            </w:r>
          </w:p>
          <w:p w:rsidR="00EC49CE" w:rsidRDefault="009268D8">
            <w:pPr>
              <w:pStyle w:val="Zitat"/>
            </w:pPr>
            <w:r>
              <w:t>causarum velans umbras, litesque novellas</w:t>
            </w:r>
          </w:p>
          <w:p w:rsidR="00EC49CE" w:rsidRDefault="009268D8">
            <w:pPr>
              <w:pStyle w:val="Zitat"/>
            </w:pPr>
            <w:r>
              <w:t>fingit et in litem cogit sine lite venire.</w:t>
            </w:r>
          </w:p>
          <w:p w:rsidR="00EC49CE" w:rsidRDefault="00EC49CE"/>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&lt;ars&gt; rhētorica, ae f: die Redekunst, Rhetorik</w:t>
            </w:r>
          </w:p>
          <w:p w:rsidR="00EC49CE" w:rsidRDefault="009268D8">
            <w:pPr>
              <w:pStyle w:val="Vokabeln"/>
              <w:framePr w:hSpace="0" w:wrap="auto" w:vAnchor="margin" w:hAnchor="text" w:xAlign="left" w:yAlign="inline"/>
            </w:pPr>
            <w:r>
              <w:t>adoptāre, adoptō (hier): sich aneignen, übernehmen</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meritō (Adv.): verdientermaßen, mit Recht</w:t>
            </w:r>
          </w:p>
          <w:p w:rsidR="00EC49CE" w:rsidRDefault="009268D8">
            <w:pPr>
              <w:pStyle w:val="Vokabeln"/>
              <w:framePr w:hSpace="0" w:wrap="auto" w:vAnchor="margin" w:hAnchor="text" w:xAlign="left" w:yAlign="inline"/>
            </w:pPr>
            <w:r>
              <w:t>gignere, gignō: hervorbringen</w:t>
            </w:r>
          </w:p>
          <w:p w:rsidR="00EC49CE" w:rsidRDefault="009268D8">
            <w:pPr>
              <w:pStyle w:val="Vokabeln"/>
              <w:framePr w:hSpace="0" w:wrap="auto" w:vAnchor="margin" w:hAnchor="text" w:xAlign="left" w:yAlign="inline"/>
            </w:pPr>
            <w:r>
              <w:t>ortus, ūs m (hier): Enstehung, Ursprung</w:t>
            </w:r>
          </w:p>
          <w:p w:rsidR="00EC49CE" w:rsidRDefault="009268D8">
            <w:pPr>
              <w:pStyle w:val="Vokabeln"/>
              <w:framePr w:hSpace="0" w:wrap="auto" w:vAnchor="margin" w:hAnchor="text" w:xAlign="left" w:yAlign="inline"/>
            </w:pPr>
            <w:r>
              <w:t>ortum dūcere: seine Herkunft herleiten, abstammen</w:t>
            </w:r>
          </w:p>
          <w:p w:rsidR="00EC49CE" w:rsidRDefault="009268D8">
            <w:pPr>
              <w:pStyle w:val="Vokabeln"/>
              <w:framePr w:hSpace="0" w:wrap="auto" w:vAnchor="margin" w:hAnchor="text" w:xAlign="left" w:yAlign="inline"/>
            </w:pPr>
            <w:r>
              <w:t>Tullia, ae f: Tullia (</w:t>
            </w:r>
            <w:r>
              <w:rPr>
                <w:i/>
              </w:rPr>
              <w:t>Tochter des Tullius</w:t>
            </w:r>
            <w:r>
              <w:t>)</w:t>
            </w:r>
          </w:p>
          <w:p w:rsidR="00EC49CE" w:rsidRDefault="009268D8">
            <w:pPr>
              <w:pStyle w:val="Vokabeln"/>
              <w:framePr w:hSpace="0" w:wrap="auto" w:vAnchor="margin" w:hAnchor="text" w:xAlign="left" w:yAlign="inline"/>
            </w:pPr>
            <w:r>
              <w:t>multiplex, plicis: vielfältig, bunt</w:t>
            </w:r>
          </w:p>
          <w:p w:rsidR="00EC49CE" w:rsidRDefault="009268D8">
            <w:pPr>
              <w:pStyle w:val="Vokabeln"/>
              <w:framePr w:hSpace="0" w:wrap="auto" w:vAnchor="margin" w:hAnchor="text" w:xAlign="left" w:yAlign="inline"/>
            </w:pPr>
            <w:r>
              <w:t>praesīgnīre, praesīgniō: schmücken, verzieren</w:t>
            </w:r>
          </w:p>
          <w:p w:rsidR="00EC49CE" w:rsidRDefault="009268D8">
            <w:pPr>
              <w:pStyle w:val="Vokabeln"/>
              <w:framePr w:hSpace="0" w:wrap="auto" w:vAnchor="margin" w:hAnchor="text" w:xAlign="left" w:yAlign="inline"/>
            </w:pPr>
            <w:r>
              <w:t>flōs, flōris m: Blume, Blüte</w:t>
            </w:r>
          </w:p>
          <w:p w:rsidR="00EC49CE" w:rsidRDefault="009268D8">
            <w:pPr>
              <w:pStyle w:val="Vokabeln"/>
              <w:framePr w:hSpace="0" w:wrap="auto" w:vAnchor="margin" w:hAnchor="text" w:xAlign="left" w:yAlign="inline"/>
            </w:pPr>
            <w:r>
              <w:t>nota, ae f (hier): Makel</w:t>
            </w:r>
          </w:p>
          <w:p w:rsidR="00EC49CE" w:rsidRDefault="009268D8">
            <w:pPr>
              <w:pStyle w:val="Vokabeln"/>
              <w:framePr w:hSpace="0" w:wrap="auto" w:vAnchor="margin" w:hAnchor="text" w:xAlign="left" w:yAlign="inline"/>
            </w:pPr>
            <w:r>
              <w:t>effricāre, effricō: abreiben, glätten</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vēlāre, vēlō: verhüllen, bedecken</w:t>
            </w:r>
          </w:p>
          <w:p w:rsidR="00EC49CE" w:rsidRDefault="009268D8">
            <w:pPr>
              <w:pStyle w:val="Vokabeln"/>
              <w:framePr w:hSpace="0" w:wrap="auto" w:vAnchor="margin" w:hAnchor="text" w:xAlign="left" w:yAlign="inline"/>
            </w:pPr>
            <w:r>
              <w:t>līs, lītis f: Streit; Rechtsstreit, Prozess</w:t>
            </w:r>
          </w:p>
          <w:p w:rsidR="00EC49CE" w:rsidRDefault="009268D8">
            <w:pPr>
              <w:pStyle w:val="Vokabeln"/>
              <w:framePr w:hSpace="0" w:wrap="auto" w:vAnchor="margin" w:hAnchor="text" w:xAlign="left" w:yAlign="inline"/>
            </w:pPr>
            <w:r>
              <w:t>novellus, a, um (&lt; novus): neu, neuartig</w:t>
            </w:r>
          </w:p>
          <w:p w:rsidR="00EC49CE" w:rsidRDefault="00EC49CE">
            <w:pPr>
              <w:pStyle w:val="Vokabeln"/>
              <w:framePr w:hSpace="0" w:wrap="auto" w:vAnchor="margin" w:hAnchor="text" w:xAlign="left" w:yAlign="inline"/>
            </w:pP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pStyle w:val="Vokabeln"/>
              <w:framePr w:hSpace="0" w:wrap="auto" w:vAnchor="margin" w:hAnchor="text" w:xAlign="left" w:yAlign="inline"/>
            </w:pPr>
            <w:r>
              <w:t>Marcus &lt;Tullius Cicerō&gt;</w:t>
            </w:r>
          </w:p>
          <w:p w:rsidR="00EC49CE" w:rsidRDefault="009268D8">
            <w:pPr>
              <w:pStyle w:val="Vokabeln"/>
              <w:framePr w:hSpace="0" w:wrap="auto" w:vAnchor="margin" w:hAnchor="text" w:xAlign="left" w:yAlign="inline"/>
            </w:pPr>
            <w:r>
              <w:t>sōlī: Dat. von sōlus</w:t>
            </w:r>
          </w:p>
          <w:p w:rsidR="00EC49CE" w:rsidRDefault="009268D8">
            <w:pPr>
              <w:pStyle w:val="Vokabeln"/>
              <w:framePr w:hSpace="0" w:wrap="auto" w:vAnchor="margin" w:hAnchor="text" w:xAlign="left" w:yAlign="inline"/>
            </w:pPr>
            <w:r>
              <w:t>dīcī: Infinitiv Präsens Passiv</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cēnsērī: Infinitiv Präsens Passiv</w:t>
            </w:r>
            <w:r>
              <w:rPr>
                <w:sz w:val="20"/>
              </w:rPr>
              <w:t xml:space="preserve"> </w:t>
            </w: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KeinLeerraum"/>
              <w:spacing w:line="240" w:lineRule="exact"/>
              <w:contextualSpacing w:val="0"/>
              <w:rPr>
                <w:rFonts w:cs="Times New Roman"/>
                <w:i/>
                <w:szCs w:val="20"/>
              </w:rPr>
            </w:pPr>
          </w:p>
          <w:p w:rsidR="00EC49CE" w:rsidRDefault="00EC49CE">
            <w:pPr>
              <w:pStyle w:val="KeinLeerraum"/>
              <w:spacing w:line="240" w:lineRule="exact"/>
              <w:rPr>
                <w:rFonts w:cs="Times New Roman"/>
                <w:i/>
                <w:szCs w:val="20"/>
              </w:rPr>
            </w:pPr>
          </w:p>
        </w:tc>
      </w:tr>
    </w:tbl>
    <w:p w:rsidR="00EC49CE" w:rsidRPr="00B61981" w:rsidRDefault="00EC49CE" w:rsidP="00B61981">
      <w:pPr>
        <w:pStyle w:val="berschrift1"/>
      </w:pPr>
    </w:p>
    <w:sectPr w:rsidR="00EC49CE" w:rsidRPr="00B61981">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A5" w:rsidRDefault="00DE4CA5">
      <w:pPr>
        <w:spacing w:after="0" w:line="240" w:lineRule="auto"/>
      </w:pPr>
      <w:r>
        <w:separator/>
      </w:r>
    </w:p>
  </w:endnote>
  <w:endnote w:type="continuationSeparator" w:id="0">
    <w:p w:rsidR="00DE4CA5" w:rsidRDefault="00DE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55" w:rsidRDefault="006B12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bookmarkStart w:id="1" w:name="_GoBack" w:displacedByCustomXml="prev"/>
      <w:bookmarkEnd w:id="1" w:displacedByCustomXml="prev"/>
      <w:p w:rsidR="009268D8" w:rsidRDefault="009268D8">
        <w:pPr>
          <w:pStyle w:val="Fuzeile"/>
          <w:jc w:val="center"/>
        </w:pPr>
        <w:r>
          <w:rPr>
            <w:rFonts w:cs="Times New Roman"/>
            <w:noProof/>
            <w:szCs w:val="24"/>
            <w:lang w:eastAsia="de-DE"/>
          </w:rPr>
          <w:drawing>
            <wp:anchor distT="36576" distB="36576" distL="36576" distR="36576" simplePos="0" relativeHeight="251664384" behindDoc="0" locked="0" layoutInCell="1" allowOverlap="1" wp14:anchorId="4CAB7E6A" wp14:editId="6A1D75AF">
              <wp:simplePos x="0" y="0"/>
              <wp:positionH relativeFrom="column">
                <wp:posOffset>7274786</wp:posOffset>
              </wp:positionH>
              <wp:positionV relativeFrom="paragraph">
                <wp:posOffset>167217</wp:posOffset>
              </wp:positionV>
              <wp:extent cx="2454025" cy="426720"/>
              <wp:effectExtent l="0" t="0" r="3810" b="0"/>
              <wp:wrapNone/>
              <wp:docPr id="3"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ng-logo_bereinigt"/>
                      <pic:cNvPicPr>
                        <a:picLocks noChangeAspect="1"/>
                      </pic:cNvPicPr>
                    </pic:nvPicPr>
                    <pic:blipFill>
                      <a:blip r:embed="rId1">
                        <a:lum bright="-40000" contrast="20000"/>
                      </a:blip>
                      <a:stretch/>
                    </pic:blipFill>
                    <pic:spPr bwMode="auto">
                      <a:xfrm>
                        <a:off x="0" y="0"/>
                        <a:ext cx="2580833" cy="4487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B1255">
          <w:rPr>
            <w:noProof/>
          </w:rPr>
          <w:t>1</w:t>
        </w:r>
        <w:r>
          <w:fldChar w:fldCharType="end"/>
        </w:r>
      </w:p>
    </w:sdtContent>
  </w:sdt>
  <w:p w:rsidR="009268D8" w:rsidRDefault="009268D8">
    <w:pPr>
      <w:pStyle w:val="Fuzeile"/>
      <w:jc w:val="center"/>
      <w:rPr>
        <w:smallCaps/>
        <w:sz w:val="18"/>
      </w:rPr>
    </w:pPr>
    <w:r>
      <w:rPr>
        <w:smallCaps/>
        <w:sz w:val="18"/>
      </w:rPr>
      <w:t>Materialien zum Selbststudium »Latein des Mittelalters und der Neuzeit«</w:t>
    </w:r>
  </w:p>
  <w:p w:rsidR="009268D8" w:rsidRDefault="009268D8">
    <w:pPr>
      <w:pStyle w:val="Fuzeile"/>
      <w:jc w:val="center"/>
      <w:rPr>
        <w:sz w:val="18"/>
      </w:rPr>
    </w:pPr>
    <w:r>
      <w:rPr>
        <w:sz w:val="18"/>
      </w:rPr>
      <w:t>zusammengestellt von Lars Wattenberg</w:t>
    </w:r>
  </w:p>
  <w:p w:rsidR="009268D8" w:rsidRDefault="009268D8">
    <w:pPr>
      <w:pStyle w:val="Fuzeile"/>
      <w:tabs>
        <w:tab w:val="center" w:pos="7002"/>
        <w:tab w:val="right" w:pos="14004"/>
      </w:tabs>
      <w:jc w:val="center"/>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55" w:rsidRDefault="006B12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A5" w:rsidRDefault="00DE4CA5">
      <w:pPr>
        <w:spacing w:after="0" w:line="240" w:lineRule="auto"/>
      </w:pPr>
      <w:r>
        <w:separator/>
      </w:r>
    </w:p>
  </w:footnote>
  <w:footnote w:type="continuationSeparator" w:id="0">
    <w:p w:rsidR="00DE4CA5" w:rsidRDefault="00DE4CA5">
      <w:pPr>
        <w:spacing w:after="0" w:line="240" w:lineRule="auto"/>
      </w:pPr>
      <w:r>
        <w:continuationSeparator/>
      </w:r>
    </w:p>
  </w:footnote>
  <w:footnote w:id="1">
    <w:p w:rsidR="009268D8" w:rsidRDefault="009268D8">
      <w:pPr>
        <w:pStyle w:val="Funotentext"/>
        <w:jc w:val="both"/>
      </w:pPr>
      <w:r>
        <w:rPr>
          <w:rStyle w:val="Funotenzeichen"/>
        </w:rPr>
        <w:footnoteRef/>
      </w:r>
      <w:r>
        <w:t xml:space="preserve"> Die fünf </w:t>
      </w:r>
      <w:r>
        <w:rPr>
          <w:i/>
        </w:rPr>
        <w:t>partes</w:t>
      </w:r>
      <w:r>
        <w:t xml:space="preserve"> der Redekunst (auch </w:t>
      </w:r>
      <w:r>
        <w:rPr>
          <w:i/>
        </w:rPr>
        <w:t>officia</w:t>
      </w:r>
      <w:r>
        <w:t xml:space="preserve"> = Pflichten des Redners genannt) sind </w:t>
      </w:r>
      <w:r>
        <w:rPr>
          <w:i/>
        </w:rPr>
        <w:t>inventio</w:t>
      </w:r>
      <w:r>
        <w:t xml:space="preserve"> (Auffinden des Stoffes und der Argumente), </w:t>
      </w:r>
      <w:r>
        <w:rPr>
          <w:i/>
        </w:rPr>
        <w:t>dispositio</w:t>
      </w:r>
      <w:r>
        <w:t xml:space="preserve"> (Anordnung der Argumente), </w:t>
      </w:r>
      <w:r>
        <w:rPr>
          <w:i/>
        </w:rPr>
        <w:t>elocutio</w:t>
      </w:r>
      <w:r>
        <w:t xml:space="preserve"> (Ausformulierung und rhetorische Gestaltung), </w:t>
      </w:r>
      <w:r>
        <w:rPr>
          <w:i/>
        </w:rPr>
        <w:t>memoria</w:t>
      </w:r>
      <w:r>
        <w:t xml:space="preserve"> (Auswendiglernen der Rede), und schließlich </w:t>
      </w:r>
      <w:r>
        <w:rPr>
          <w:i/>
        </w:rPr>
        <w:t>actio</w:t>
      </w:r>
      <w:r>
        <w:t xml:space="preserve"> bzw. </w:t>
      </w:r>
      <w:r>
        <w:rPr>
          <w:i/>
        </w:rPr>
        <w:t>pronuntiatio</w:t>
      </w:r>
      <w:r>
        <w:t xml:space="preserve"> (Vortrag).</w:t>
      </w:r>
    </w:p>
  </w:footnote>
  <w:footnote w:id="2">
    <w:p w:rsidR="009268D8" w:rsidRDefault="009268D8">
      <w:pPr>
        <w:pStyle w:val="Funotentext"/>
        <w:jc w:val="both"/>
      </w:pPr>
      <w:r>
        <w:rPr>
          <w:rStyle w:val="Funotenzeichen"/>
        </w:rPr>
        <w:footnoteRef/>
      </w:r>
      <w:r>
        <w:t xml:space="preserve"> Im Folgenden geht es um die Teile der Rede selbst. Jeder Redeteil hat ein bestimmtes Ziel bzw. eine bestimmte Funktion und muss dementsprechend gestaltet sein.</w:t>
      </w:r>
    </w:p>
  </w:footnote>
  <w:footnote w:id="3">
    <w:p w:rsidR="009268D8" w:rsidRDefault="009268D8">
      <w:pPr>
        <w:pStyle w:val="Funotentext"/>
        <w:jc w:val="both"/>
      </w:pPr>
      <w:r>
        <w:rPr>
          <w:rStyle w:val="Funotenzeichen"/>
        </w:rPr>
        <w:footnoteRef/>
      </w:r>
      <w:r>
        <w:t xml:space="preserve"> Magnus Felix Ennodius (5./6. Jh. n. Chr.), auch Ennodius von Pavia genannt, war ein Bischof, Verfasser von Reden, Briefen und Gedichten und Lehrer der Rhetorik.</w:t>
      </w:r>
    </w:p>
  </w:footnote>
  <w:footnote w:id="4">
    <w:p w:rsidR="009268D8" w:rsidRDefault="009268D8">
      <w:pPr>
        <w:pStyle w:val="Funotentext"/>
        <w:jc w:val="both"/>
      </w:pPr>
      <w:r>
        <w:rPr>
          <w:rStyle w:val="Funotenzeichen"/>
        </w:rPr>
        <w:footnoteRef/>
      </w:r>
      <w:r>
        <w:t xml:space="preserve"> Marcus Fabius Quintilianus (1. Jh. n. Chr.), kurz Quintilian, war ein bedeutender römischer Rhetoriklehrer, der Cicero als vorbildlichen Redner ansah. Alanus bezieht sich hier anscheinend auf die Quintilian zugeschriebenen </w:t>
      </w:r>
      <w:r>
        <w:rPr>
          <w:i/>
        </w:rPr>
        <w:t>Declamationes</w:t>
      </w:r>
      <w:r>
        <w:t>, Sammlungen von Übungsreden, die sich mit fiktiven und teilweise absurden Fällen auseinandersetzen.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55" w:rsidRDefault="006B12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D8" w:rsidRDefault="009268D8">
    <w:pPr>
      <w:pStyle w:val="Kopfzeile"/>
      <w:tabs>
        <w:tab w:val="clear" w:pos="9072"/>
        <w:tab w:val="left" w:pos="13633"/>
        <w:tab w:val="right" w:pos="14004"/>
      </w:tabs>
      <w:rPr>
        <w:smallCaps/>
        <w:sz w:val="32"/>
      </w:rPr>
    </w:pPr>
    <w:r>
      <w:rPr>
        <w:noProof/>
        <w:lang w:eastAsia="de-DE"/>
      </w:rPr>
      <mc:AlternateContent>
        <mc:Choice Requires="wpg">
          <w:drawing>
            <wp:anchor distT="0" distB="0" distL="114300" distR="114300" simplePos="0" relativeHeight="251662336" behindDoc="1" locked="0" layoutInCell="1" allowOverlap="1" wp14:anchorId="2FC350FC" wp14:editId="7306A48B">
              <wp:simplePos x="0" y="0"/>
              <wp:positionH relativeFrom="column">
                <wp:posOffset>7629250</wp:posOffset>
              </wp:positionH>
              <wp:positionV relativeFrom="paragraph">
                <wp:posOffset>-211455</wp:posOffset>
              </wp:positionV>
              <wp:extent cx="1255395" cy="1341120"/>
              <wp:effectExtent l="0" t="0" r="1905" b="0"/>
              <wp:wrapTight wrapText="bothSides">
                <wp:wrapPolygon edited="1">
                  <wp:start x="0" y="0"/>
                  <wp:lineTo x="0" y="21170"/>
                  <wp:lineTo x="21305" y="21170"/>
                  <wp:lineTo x="21305"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2336;o:allowoverlap:true;o:allowincell:true;mso-position-horizontal-relative:text;margin-left:600.7pt;mso-position-horizontal:absolute;mso-position-vertical-relative:text;margin-top:-16.6pt;mso-position-vertical:absolute;width:98.8pt;height:105.6pt;" wrapcoords="0 0 0 98009 98634 98009 98634 0 0 0" stroked="false">
              <v:path textboxrect="0,0,0,0"/>
              <v:imagedata r:id="rId2" o:title=""/>
            </v:shape>
          </w:pict>
        </mc:Fallback>
      </mc:AlternateContent>
    </w:r>
    <w:r>
      <w:rPr>
        <w:i/>
        <w:smallCaps/>
        <w:sz w:val="32"/>
      </w:rPr>
      <w:t>Cicero-rezeption und Ciceronianismus-Debatte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55" w:rsidRDefault="006B125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7AB"/>
    <w:multiLevelType w:val="hybridMultilevel"/>
    <w:tmpl w:val="D138D5DA"/>
    <w:lvl w:ilvl="0" w:tplc="C298F4F4">
      <w:start w:val="1"/>
      <w:numFmt w:val="decimal"/>
      <w:lvlText w:val="%1."/>
      <w:lvlJc w:val="left"/>
      <w:pPr>
        <w:ind w:left="720" w:hanging="360"/>
      </w:pPr>
      <w:rPr>
        <w:rFonts w:hint="default"/>
      </w:rPr>
    </w:lvl>
    <w:lvl w:ilvl="1" w:tplc="C0702E5C">
      <w:start w:val="1"/>
      <w:numFmt w:val="lowerLetter"/>
      <w:lvlText w:val="%2."/>
      <w:lvlJc w:val="left"/>
      <w:pPr>
        <w:ind w:left="1440" w:hanging="360"/>
      </w:pPr>
    </w:lvl>
    <w:lvl w:ilvl="2" w:tplc="F1D053BC">
      <w:start w:val="1"/>
      <w:numFmt w:val="lowerRoman"/>
      <w:lvlText w:val="%3."/>
      <w:lvlJc w:val="right"/>
      <w:pPr>
        <w:ind w:left="2160" w:hanging="180"/>
      </w:pPr>
    </w:lvl>
    <w:lvl w:ilvl="3" w:tplc="AC8E62DA">
      <w:start w:val="1"/>
      <w:numFmt w:val="decimal"/>
      <w:lvlText w:val="%4."/>
      <w:lvlJc w:val="left"/>
      <w:pPr>
        <w:ind w:left="2880" w:hanging="360"/>
      </w:pPr>
    </w:lvl>
    <w:lvl w:ilvl="4" w:tplc="A30C83EC">
      <w:start w:val="1"/>
      <w:numFmt w:val="lowerLetter"/>
      <w:lvlText w:val="%5."/>
      <w:lvlJc w:val="left"/>
      <w:pPr>
        <w:ind w:left="3600" w:hanging="360"/>
      </w:pPr>
    </w:lvl>
    <w:lvl w:ilvl="5" w:tplc="7D326420">
      <w:start w:val="1"/>
      <w:numFmt w:val="lowerRoman"/>
      <w:lvlText w:val="%6."/>
      <w:lvlJc w:val="right"/>
      <w:pPr>
        <w:ind w:left="4320" w:hanging="180"/>
      </w:pPr>
    </w:lvl>
    <w:lvl w:ilvl="6" w:tplc="BB761AAE">
      <w:start w:val="1"/>
      <w:numFmt w:val="decimal"/>
      <w:lvlText w:val="%7."/>
      <w:lvlJc w:val="left"/>
      <w:pPr>
        <w:ind w:left="5040" w:hanging="360"/>
      </w:pPr>
    </w:lvl>
    <w:lvl w:ilvl="7" w:tplc="EA30EBEE">
      <w:start w:val="1"/>
      <w:numFmt w:val="lowerLetter"/>
      <w:lvlText w:val="%8."/>
      <w:lvlJc w:val="left"/>
      <w:pPr>
        <w:ind w:left="5760" w:hanging="360"/>
      </w:pPr>
    </w:lvl>
    <w:lvl w:ilvl="8" w:tplc="890878AC">
      <w:start w:val="1"/>
      <w:numFmt w:val="lowerRoman"/>
      <w:lvlText w:val="%9."/>
      <w:lvlJc w:val="right"/>
      <w:pPr>
        <w:ind w:left="6480" w:hanging="180"/>
      </w:pPr>
    </w:lvl>
  </w:abstractNum>
  <w:abstractNum w:abstractNumId="1">
    <w:nsid w:val="14B75C30"/>
    <w:multiLevelType w:val="hybridMultilevel"/>
    <w:tmpl w:val="BABC45AE"/>
    <w:lvl w:ilvl="0" w:tplc="A9E8B13C">
      <w:start w:val="1"/>
      <w:numFmt w:val="bullet"/>
      <w:pStyle w:val="Aufzhlungszeichen"/>
      <w:lvlText w:val=""/>
      <w:lvlJc w:val="left"/>
      <w:pPr>
        <w:tabs>
          <w:tab w:val="num" w:pos="360"/>
        </w:tabs>
        <w:ind w:left="360" w:hanging="360"/>
      </w:pPr>
      <w:rPr>
        <w:rFonts w:ascii="Symbol" w:hAnsi="Symbol" w:hint="default"/>
      </w:rPr>
    </w:lvl>
    <w:lvl w:ilvl="1" w:tplc="F09C1AEC">
      <w:start w:val="1"/>
      <w:numFmt w:val="bullet"/>
      <w:lvlText w:val="o"/>
      <w:lvlJc w:val="left"/>
      <w:pPr>
        <w:ind w:left="1440" w:hanging="360"/>
      </w:pPr>
      <w:rPr>
        <w:rFonts w:ascii="Courier New" w:eastAsia="Courier New" w:hAnsi="Courier New" w:cs="Courier New" w:hint="default"/>
      </w:rPr>
    </w:lvl>
    <w:lvl w:ilvl="2" w:tplc="32EE4FD8">
      <w:start w:val="1"/>
      <w:numFmt w:val="bullet"/>
      <w:lvlText w:val="§"/>
      <w:lvlJc w:val="left"/>
      <w:pPr>
        <w:ind w:left="2160" w:hanging="360"/>
      </w:pPr>
      <w:rPr>
        <w:rFonts w:ascii="Wingdings" w:eastAsia="Wingdings" w:hAnsi="Wingdings" w:cs="Wingdings" w:hint="default"/>
      </w:rPr>
    </w:lvl>
    <w:lvl w:ilvl="3" w:tplc="9CACDE0C">
      <w:start w:val="1"/>
      <w:numFmt w:val="bullet"/>
      <w:lvlText w:val="·"/>
      <w:lvlJc w:val="left"/>
      <w:pPr>
        <w:ind w:left="2880" w:hanging="360"/>
      </w:pPr>
      <w:rPr>
        <w:rFonts w:ascii="Symbol" w:eastAsia="Symbol" w:hAnsi="Symbol" w:cs="Symbol" w:hint="default"/>
      </w:rPr>
    </w:lvl>
    <w:lvl w:ilvl="4" w:tplc="1358548C">
      <w:start w:val="1"/>
      <w:numFmt w:val="bullet"/>
      <w:lvlText w:val="o"/>
      <w:lvlJc w:val="left"/>
      <w:pPr>
        <w:ind w:left="3600" w:hanging="360"/>
      </w:pPr>
      <w:rPr>
        <w:rFonts w:ascii="Courier New" w:eastAsia="Courier New" w:hAnsi="Courier New" w:cs="Courier New" w:hint="default"/>
      </w:rPr>
    </w:lvl>
    <w:lvl w:ilvl="5" w:tplc="0994C9FC">
      <w:start w:val="1"/>
      <w:numFmt w:val="bullet"/>
      <w:lvlText w:val="§"/>
      <w:lvlJc w:val="left"/>
      <w:pPr>
        <w:ind w:left="4320" w:hanging="360"/>
      </w:pPr>
      <w:rPr>
        <w:rFonts w:ascii="Wingdings" w:eastAsia="Wingdings" w:hAnsi="Wingdings" w:cs="Wingdings" w:hint="default"/>
      </w:rPr>
    </w:lvl>
    <w:lvl w:ilvl="6" w:tplc="83F02D68">
      <w:start w:val="1"/>
      <w:numFmt w:val="bullet"/>
      <w:lvlText w:val="·"/>
      <w:lvlJc w:val="left"/>
      <w:pPr>
        <w:ind w:left="5040" w:hanging="360"/>
      </w:pPr>
      <w:rPr>
        <w:rFonts w:ascii="Symbol" w:eastAsia="Symbol" w:hAnsi="Symbol" w:cs="Symbol" w:hint="default"/>
      </w:rPr>
    </w:lvl>
    <w:lvl w:ilvl="7" w:tplc="6B3C4D74">
      <w:start w:val="1"/>
      <w:numFmt w:val="bullet"/>
      <w:lvlText w:val="o"/>
      <w:lvlJc w:val="left"/>
      <w:pPr>
        <w:ind w:left="5760" w:hanging="360"/>
      </w:pPr>
      <w:rPr>
        <w:rFonts w:ascii="Courier New" w:eastAsia="Courier New" w:hAnsi="Courier New" w:cs="Courier New" w:hint="default"/>
      </w:rPr>
    </w:lvl>
    <w:lvl w:ilvl="8" w:tplc="AAC4C6D2">
      <w:start w:val="1"/>
      <w:numFmt w:val="bullet"/>
      <w:lvlText w:val="§"/>
      <w:lvlJc w:val="left"/>
      <w:pPr>
        <w:ind w:left="6480" w:hanging="360"/>
      </w:pPr>
      <w:rPr>
        <w:rFonts w:ascii="Wingdings" w:eastAsia="Wingdings" w:hAnsi="Wingdings" w:cs="Wingdings" w:hint="default"/>
      </w:rPr>
    </w:lvl>
  </w:abstractNum>
  <w:abstractNum w:abstractNumId="2">
    <w:nsid w:val="6420788F"/>
    <w:multiLevelType w:val="hybridMultilevel"/>
    <w:tmpl w:val="8A9E5318"/>
    <w:lvl w:ilvl="0" w:tplc="251056EA">
      <w:start w:val="1"/>
      <w:numFmt w:val="bullet"/>
      <w:lvlText w:val="-"/>
      <w:lvlJc w:val="left"/>
      <w:pPr>
        <w:ind w:left="720" w:hanging="360"/>
      </w:pPr>
      <w:rPr>
        <w:rFonts w:ascii="Garamond" w:eastAsia="Calibri" w:hAnsi="Garamond" w:cs="Calibri" w:hint="default"/>
      </w:rPr>
    </w:lvl>
    <w:lvl w:ilvl="1" w:tplc="A9E40B92">
      <w:start w:val="1"/>
      <w:numFmt w:val="bullet"/>
      <w:lvlText w:val="o"/>
      <w:lvlJc w:val="left"/>
      <w:pPr>
        <w:ind w:left="1440" w:hanging="360"/>
      </w:pPr>
      <w:rPr>
        <w:rFonts w:ascii="Courier New" w:hAnsi="Courier New" w:cs="Courier New" w:hint="default"/>
      </w:rPr>
    </w:lvl>
    <w:lvl w:ilvl="2" w:tplc="3788D2E6">
      <w:start w:val="1"/>
      <w:numFmt w:val="bullet"/>
      <w:lvlText w:val=""/>
      <w:lvlJc w:val="left"/>
      <w:pPr>
        <w:ind w:left="2160" w:hanging="360"/>
      </w:pPr>
      <w:rPr>
        <w:rFonts w:ascii="Wingdings" w:hAnsi="Wingdings" w:hint="default"/>
      </w:rPr>
    </w:lvl>
    <w:lvl w:ilvl="3" w:tplc="61EE5C5E">
      <w:start w:val="1"/>
      <w:numFmt w:val="bullet"/>
      <w:lvlText w:val=""/>
      <w:lvlJc w:val="left"/>
      <w:pPr>
        <w:ind w:left="2880" w:hanging="360"/>
      </w:pPr>
      <w:rPr>
        <w:rFonts w:ascii="Symbol" w:hAnsi="Symbol" w:hint="default"/>
      </w:rPr>
    </w:lvl>
    <w:lvl w:ilvl="4" w:tplc="20A268C6">
      <w:start w:val="1"/>
      <w:numFmt w:val="bullet"/>
      <w:lvlText w:val="o"/>
      <w:lvlJc w:val="left"/>
      <w:pPr>
        <w:ind w:left="3600" w:hanging="360"/>
      </w:pPr>
      <w:rPr>
        <w:rFonts w:ascii="Courier New" w:hAnsi="Courier New" w:cs="Courier New" w:hint="default"/>
      </w:rPr>
    </w:lvl>
    <w:lvl w:ilvl="5" w:tplc="D10EBEA0">
      <w:start w:val="1"/>
      <w:numFmt w:val="bullet"/>
      <w:lvlText w:val=""/>
      <w:lvlJc w:val="left"/>
      <w:pPr>
        <w:ind w:left="4320" w:hanging="360"/>
      </w:pPr>
      <w:rPr>
        <w:rFonts w:ascii="Wingdings" w:hAnsi="Wingdings" w:hint="default"/>
      </w:rPr>
    </w:lvl>
    <w:lvl w:ilvl="6" w:tplc="B92C4BEA">
      <w:start w:val="1"/>
      <w:numFmt w:val="bullet"/>
      <w:lvlText w:val=""/>
      <w:lvlJc w:val="left"/>
      <w:pPr>
        <w:ind w:left="5040" w:hanging="360"/>
      </w:pPr>
      <w:rPr>
        <w:rFonts w:ascii="Symbol" w:hAnsi="Symbol" w:hint="default"/>
      </w:rPr>
    </w:lvl>
    <w:lvl w:ilvl="7" w:tplc="BB32EB64">
      <w:start w:val="1"/>
      <w:numFmt w:val="bullet"/>
      <w:lvlText w:val="o"/>
      <w:lvlJc w:val="left"/>
      <w:pPr>
        <w:ind w:left="5760" w:hanging="360"/>
      </w:pPr>
      <w:rPr>
        <w:rFonts w:ascii="Courier New" w:hAnsi="Courier New" w:cs="Courier New" w:hint="default"/>
      </w:rPr>
    </w:lvl>
    <w:lvl w:ilvl="8" w:tplc="15EE943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CE"/>
    <w:rsid w:val="00052A97"/>
    <w:rsid w:val="001B1F4C"/>
    <w:rsid w:val="003F4821"/>
    <w:rsid w:val="00417F9A"/>
    <w:rsid w:val="0042465C"/>
    <w:rsid w:val="004A1E29"/>
    <w:rsid w:val="006B1255"/>
    <w:rsid w:val="00774CAB"/>
    <w:rsid w:val="007A1EA9"/>
    <w:rsid w:val="008132BA"/>
    <w:rsid w:val="008D5CDB"/>
    <w:rsid w:val="009268D8"/>
    <w:rsid w:val="009C5693"/>
    <w:rsid w:val="00A42182"/>
    <w:rsid w:val="00B61981"/>
    <w:rsid w:val="00B73CDF"/>
    <w:rsid w:val="00C41462"/>
    <w:rsid w:val="00DE4CA5"/>
    <w:rsid w:val="00EC49CE"/>
    <w:rsid w:val="00EE0EA6"/>
    <w:rsid w:val="00F53ADD"/>
    <w:rsid w:val="00FC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outlineLvl w:val="0"/>
    </w:pPr>
    <w:rPr>
      <w:rFonts w:eastAsia="Calibri Light" w:cs="Calibri Light"/>
      <w:sz w:val="36"/>
      <w:szCs w:val="32"/>
      <w:u w:val="single"/>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Palatino Linotype" w:eastAsia="Calibri Light" w:hAnsi="Palatino Linotype" w:cs="Calibri Light"/>
      <w:sz w:val="36"/>
      <w:szCs w:val="32"/>
      <w:u w:val="single"/>
    </w:rPr>
  </w:style>
  <w:style w:type="paragraph" w:styleId="Inhaltsverzeichnisberschrift">
    <w:name w:val="TOC Heading"/>
    <w:basedOn w:val="berschrift1"/>
    <w:next w:val="Standard"/>
    <w:uiPriority w:val="39"/>
    <w:unhideWhenUsed/>
    <w:qFormat/>
    <w:pPr>
      <w:spacing w:after="113"/>
      <w:outlineLvl w:val="9"/>
    </w:pPr>
    <w:rPr>
      <w:sz w:val="32"/>
      <w:szCs w:val="24"/>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semiHidden/>
    <w:rPr>
      <w:rFonts w:ascii="Palatino Linotype" w:eastAsia="Calibri Light" w:hAnsi="Palatino Linotype" w:cs="Calibri Light"/>
      <w:sz w:val="28"/>
      <w:szCs w:val="26"/>
      <w:u w:val="single"/>
    </w:rPr>
  </w:style>
  <w:style w:type="paragraph" w:styleId="Zitat">
    <w:name w:val="Quote"/>
    <w:aliases w:val="Text"/>
    <w:basedOn w:val="KeinLeerraum"/>
    <w:next w:val="Standard"/>
    <w:link w:val="ZitatZchn"/>
    <w:uiPriority w:val="29"/>
    <w:qFormat/>
    <w:pPr>
      <w:spacing w:after="0" w:line="480" w:lineRule="atLeast"/>
      <w:jc w:val="both"/>
    </w:pPr>
    <w:rPr>
      <w:iCs/>
      <w:sz w:val="22"/>
    </w:rPr>
  </w:style>
  <w:style w:type="character" w:customStyle="1" w:styleId="ZitatZchn">
    <w:name w:val="Zitat Zchn"/>
    <w:aliases w:val="Tex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paragraph" w:styleId="Funotentext">
    <w:name w:val="footnote text"/>
    <w:basedOn w:val="Standard"/>
    <w:link w:val="FunotentextZchn"/>
    <w:uiPriority w:val="99"/>
    <w:semiHidden/>
    <w:unhideWhenUsed/>
    <w:pPr>
      <w:spacing w:after="0" w:line="240" w:lineRule="auto"/>
    </w:pPr>
    <w:rPr>
      <w:rFonts w:eastAsia="Palatino Linotype" w:cs="Palatino Linotype"/>
      <w:sz w:val="16"/>
      <w:szCs w:val="20"/>
    </w:rPr>
  </w:style>
  <w:style w:type="character" w:customStyle="1" w:styleId="FunotentextZchn">
    <w:name w:val="Fußnotentext Zchn"/>
    <w:link w:val="Funotentext"/>
    <w:uiPriority w:val="99"/>
    <w:semiHidden/>
    <w:rPr>
      <w:rFonts w:ascii="Palatino Linotype" w:eastAsia="Palatino Linotype" w:hAnsi="Palatino Linotype" w:cs="Palatino Linotype"/>
      <w:sz w:val="16"/>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Palatino Linotype" w:hAnsi="Palatino Linotype"/>
      <w:b/>
      <w:bCs/>
      <w:sz w:val="20"/>
      <w:szCs w:val="20"/>
    </w:rPr>
  </w:style>
  <w:style w:type="paragraph" w:styleId="Verzeichnis1">
    <w:name w:val="toc 1"/>
    <w:basedOn w:val="Standard"/>
    <w:next w:val="Standard"/>
    <w:uiPriority w:val="39"/>
    <w:unhideWhenUsed/>
    <w:pPr>
      <w:spacing w:after="100"/>
    </w:pPr>
  </w:style>
  <w:style w:type="paragraph" w:styleId="berarbeitung">
    <w:name w:val="Revision"/>
    <w:hidden/>
    <w:uiPriority w:val="99"/>
    <w:semiHidden/>
    <w:pPr>
      <w:spacing w:after="0" w:line="240" w:lineRule="auto"/>
    </w:pPr>
    <w:rPr>
      <w:rFonts w:ascii="Palatino Linotype" w:hAnsi="Palatino Linotyp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outlineLvl w:val="0"/>
    </w:pPr>
    <w:rPr>
      <w:rFonts w:eastAsia="Calibri Light" w:cs="Calibri Light"/>
      <w:sz w:val="36"/>
      <w:szCs w:val="32"/>
      <w:u w:val="single"/>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Palatino Linotype" w:eastAsia="Calibri Light" w:hAnsi="Palatino Linotype" w:cs="Calibri Light"/>
      <w:sz w:val="36"/>
      <w:szCs w:val="32"/>
      <w:u w:val="single"/>
    </w:rPr>
  </w:style>
  <w:style w:type="paragraph" w:styleId="Inhaltsverzeichnisberschrift">
    <w:name w:val="TOC Heading"/>
    <w:basedOn w:val="berschrift1"/>
    <w:next w:val="Standard"/>
    <w:uiPriority w:val="39"/>
    <w:unhideWhenUsed/>
    <w:qFormat/>
    <w:pPr>
      <w:spacing w:after="113"/>
      <w:outlineLvl w:val="9"/>
    </w:pPr>
    <w:rPr>
      <w:sz w:val="32"/>
      <w:szCs w:val="24"/>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semiHidden/>
    <w:rPr>
      <w:rFonts w:ascii="Palatino Linotype" w:eastAsia="Calibri Light" w:hAnsi="Palatino Linotype" w:cs="Calibri Light"/>
      <w:sz w:val="28"/>
      <w:szCs w:val="26"/>
      <w:u w:val="single"/>
    </w:rPr>
  </w:style>
  <w:style w:type="paragraph" w:styleId="Zitat">
    <w:name w:val="Quote"/>
    <w:aliases w:val="Text"/>
    <w:basedOn w:val="KeinLeerraum"/>
    <w:next w:val="Standard"/>
    <w:link w:val="ZitatZchn"/>
    <w:uiPriority w:val="29"/>
    <w:qFormat/>
    <w:pPr>
      <w:spacing w:after="0" w:line="480" w:lineRule="atLeast"/>
      <w:jc w:val="both"/>
    </w:pPr>
    <w:rPr>
      <w:iCs/>
      <w:sz w:val="22"/>
    </w:rPr>
  </w:style>
  <w:style w:type="character" w:customStyle="1" w:styleId="ZitatZchn">
    <w:name w:val="Zitat Zchn"/>
    <w:aliases w:val="Tex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paragraph" w:styleId="Funotentext">
    <w:name w:val="footnote text"/>
    <w:basedOn w:val="Standard"/>
    <w:link w:val="FunotentextZchn"/>
    <w:uiPriority w:val="99"/>
    <w:semiHidden/>
    <w:unhideWhenUsed/>
    <w:pPr>
      <w:spacing w:after="0" w:line="240" w:lineRule="auto"/>
    </w:pPr>
    <w:rPr>
      <w:rFonts w:eastAsia="Palatino Linotype" w:cs="Palatino Linotype"/>
      <w:sz w:val="16"/>
      <w:szCs w:val="20"/>
    </w:rPr>
  </w:style>
  <w:style w:type="character" w:customStyle="1" w:styleId="FunotentextZchn">
    <w:name w:val="Fußnotentext Zchn"/>
    <w:link w:val="Funotentext"/>
    <w:uiPriority w:val="99"/>
    <w:semiHidden/>
    <w:rPr>
      <w:rFonts w:ascii="Palatino Linotype" w:eastAsia="Palatino Linotype" w:hAnsi="Palatino Linotype" w:cs="Palatino Linotype"/>
      <w:sz w:val="16"/>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Palatino Linotype" w:hAnsi="Palatino Linotype"/>
      <w:b/>
      <w:bCs/>
      <w:sz w:val="20"/>
      <w:szCs w:val="20"/>
    </w:rPr>
  </w:style>
  <w:style w:type="paragraph" w:styleId="Verzeichnis1">
    <w:name w:val="toc 1"/>
    <w:basedOn w:val="Standard"/>
    <w:next w:val="Standard"/>
    <w:uiPriority w:val="39"/>
    <w:unhideWhenUsed/>
    <w:pPr>
      <w:spacing w:after="100"/>
    </w:pPr>
  </w:style>
  <w:style w:type="paragraph" w:styleId="berarbeitung">
    <w:name w:val="Revision"/>
    <w:hidden/>
    <w:uiPriority w:val="99"/>
    <w:semiHidden/>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939</Words>
  <Characters>5918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Brinkmann, Clemens Cornelius</dc:creator>
  <cp:lastModifiedBy>Schulz</cp:lastModifiedBy>
  <cp:revision>4</cp:revision>
  <cp:lastPrinted>2021-07-25T02:55:00Z</cp:lastPrinted>
  <dcterms:created xsi:type="dcterms:W3CDTF">2021-07-25T03:01:00Z</dcterms:created>
  <dcterms:modified xsi:type="dcterms:W3CDTF">2022-04-15T17:52:00Z</dcterms:modified>
</cp:coreProperties>
</file>